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35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3"/>
          <w:sz w:val="33"/>
          <w:szCs w:val="33"/>
        </w:rPr>
        <w:t>附</w:t>
      </w:r>
      <w:r>
        <w:rPr>
          <w:rFonts w:ascii="黑体" w:hAnsi="黑体" w:eastAsia="黑体" w:cs="黑体"/>
          <w:spacing w:val="2"/>
          <w:sz w:val="33"/>
          <w:szCs w:val="33"/>
        </w:rPr>
        <w:t>件</w:t>
      </w:r>
    </w:p>
    <w:p>
      <w:pPr>
        <w:spacing w:before="44" w:line="219" w:lineRule="auto"/>
        <w:ind w:left="556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重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点任务清单</w:t>
      </w:r>
    </w:p>
    <w:p/>
    <w:p>
      <w:pPr>
        <w:spacing w:line="53" w:lineRule="exact"/>
      </w:pPr>
    </w:p>
    <w:tbl>
      <w:tblPr>
        <w:tblStyle w:val="4"/>
        <w:tblW w:w="13040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34"/>
        <w:gridCol w:w="3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31" w:lineRule="auto"/>
              <w:ind w:left="1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强化数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据要素市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改革核心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68" w:lineRule="auto"/>
              <w:ind w:left="40" w:righ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1.构建数据要素市场供给体系、数据要素市场流通体系、数据要素市场应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体系、数据要素监管体系。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区党委网信办，自治区大数据发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局，数字广西建设领导小组其他成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单位，设区市人民政府等按职责分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18" w:righ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充分释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放数字政府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牵引力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19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2.完善政务服务平合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能，扩大智能审批范围。统一全区政务服务移动端，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打造掌上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办事服务新模式，实现全区范围内“一次认证、一网通办”。扩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大电子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照应用领域和“证照免提交”范围，推进广西电子证照汇聚量迈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国第一梯队，推动更多政务服务事项实现“全链通办”,深入推进高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频政务服务事项“跨省通办”、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“全区通办”。深化“证照分离”改革，畅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通商事登记、行政审批和事中事后监管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全链条数据汇聚。完善政务服务“好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差评”机制，强化企业和群众对服务绩效的评判。优化“12345”政务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务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民热线平台，深化“一点受理、跨市协办”、“接诉即办”服务模式。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自治区市场监管局、大数据发展局，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自治区各政务服务部门，设区市人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1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.完善全区统一的党政机关综合办公平台。加快建设全区统一的非涉密视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频会议系统，打造视频融合应用平台。加快非涉密政务应用移动端建设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推动行政审批、行政执法等全流程数字化运行、管理和监督。优化政府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站集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化平台，建设政策文件库，加快构建以网上发布为主、其他发布渠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道为辅的政策发布新格局。加快政务新媒体矩阵建设，开发多样化政策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产品，做好突发公共事件信息发布和政务奥情回应工作。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3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自治区党委网信办，自治区信访局，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自治区政府办公厅、大数据发展局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36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立完善以广西“互联网+监管”系统为核心的监管标准体系，推进各</w:t>
            </w:r>
          </w:p>
          <w:p>
            <w:pPr>
              <w:spacing w:line="211" w:lineRule="auto"/>
              <w:ind w:left="44" w:right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监管部门建设监管事项管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理系统。推动全区各部门监管业务系统全面对接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广西“互联网+监管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系统，推进重点领域监管数据主题库的建设，构建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全区重点监管领域数据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“一张图”。推进新型监管技术应用，加强非现场</w:t>
            </w:r>
          </w:p>
          <w:p>
            <w:pPr>
              <w:spacing w:line="19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监管系统、监管执法智能化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系统等建设。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治区大数据发展局，自治区各有关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管部门，设区市人民政府等按职责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40" w:h="11910"/>
          <w:pgMar w:top="1012" w:right="1934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1447800</wp:posOffset>
                </wp:positionV>
                <wp:extent cx="161925" cy="468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3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1"/>
                                <w:szCs w:val="21"/>
                              </w:rPr>
                              <w:t>2   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65pt;margin-top:114pt;height:36.9pt;width:12.7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Ger4fWAAAACwEAAA8AAAAAAAAAAQAgAAAAIgAAAGRycy9kb3ducmV2Lnht&#10;bFBLAQIUABQAAAAIAIdO4kCn8ge4wgEAAH8DAAAOAAAAAAAAAAEAIAAAACUBAABkcnMvZTJvRG9j&#10;LnhtbFBLBQYAAAAABgAGAFkBAABZBQAAAAA=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19" w:line="183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3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1"/>
                          <w:szCs w:val="21"/>
                        </w:rPr>
                        <w:t>2  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71" w:lineRule="exact"/>
      </w:pPr>
    </w:p>
    <w:tbl>
      <w:tblPr>
        <w:tblStyle w:val="4"/>
        <w:tblW w:w="13044" w:type="dxa"/>
        <w:tblInd w:w="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7704"/>
        <w:gridCol w:w="3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left="1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4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28" w:righ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三、充分发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挥中国一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盟信息港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作用</w:t>
            </w: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67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.建设柳州国际互联网数据专用通道，优化南宁国际互联网数据专用通道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和链接方向，加强面向东盟国家的推广运营。围绕共建西部陆海新通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，推进数字赋能北部湾国际门户港建设。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50" w:lineRule="auto"/>
              <w:ind w:left="66" w:right="2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治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区发展改革委、工业和信息化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厅、北部湾办、大数据发展局，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南宁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海关、自治区通信管理局，设区市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构建面向东盟的算力中心，鼓励头部企业在东盟国家布局建设海外云计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心。探索培育中国—东盟数据要素市场。持续推进双边数据安全合作，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开展面向东盟的网络安全技术交流和培训、演练活动。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55" w:lineRule="auto"/>
              <w:ind w:left="6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自治区党委网信办，自治区发展改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工业和信息化厅、公安厅、地方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融监管局、大数据发展局，自治区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信管理局，设区市人民政府等按职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63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.加强中国—东盟技术研发合作，鼓励与国内以及东盟国家的高校、科研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所、企业合作。推动中国—东盟数字技术转移与成果转化。鼓励各类技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作交流平合组织高层次的技术转移活动。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41" w:lineRule="auto"/>
              <w:ind w:left="76" w:righ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自治区科技厅、工业和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信息化厅、市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场监管局、大数据发展局等按职责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分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工负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51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.大力发展跨境电商新业态新模式。开展跨境智慧园区试点建设。加速数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易跨境流通，培育一批跨境电商产业集群。优化数字金融融通服务生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积极争取数字人民币应用试点。深化特色产业数字化转型合作，聚焦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金属、化工、机械、生物医药等领域拓展智能制造产业链合作，开展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慧农业示范合作。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50" w:lineRule="auto"/>
              <w:ind w:left="57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、农业农村厅、商务厅、地方金融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监管局、投资促进局，人民银行南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支行，设区市人民政府等按职责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4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.聚焦智慧城市、跨境旅游、跨境医疗、智慧教育、数字抗疫、防灾减灾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点领域，加强与东盟国家数字化合作。高水平举办中国—东盟信息港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论坛等活动，积极推动广西面向东盟的“数字丝绸之路”建设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  <w:tc>
          <w:tcPr>
            <w:tcW w:w="3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48" w:lineRule="auto"/>
              <w:ind w:left="6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治区党委宣传部、网信办，自治区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改革委、教育厅、科技厅、商务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文化和旅游厅、广电局、北部湾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、大数据发展局、投资促进局，设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市人民政府等按职责分工负责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40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5777865</wp:posOffset>
                </wp:positionV>
                <wp:extent cx="478790" cy="199390"/>
                <wp:effectExtent l="13970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66777" y="5778393"/>
                          <a:ext cx="47879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—   1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60.35pt;margin-top:454.95pt;height:15.7pt;width:37.7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Aa9UvWAAAACwEAAA8AAAAAAAAAAQAgAAAAIgAAAGRycy9kb3ducmV2LnhtbFBL&#10;AQIUABQAAAAIAIdO4kBuBGuJ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—   1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49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724"/>
        <w:gridCol w:w="3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4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38" w:right="171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四、构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筑数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.强化云网统筹集约建设和管理，开展“壮美广西 ·政务云”提升工程。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“壮美广西 ·政务云”资源统一调度规则，完善云资源使用监管体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。加快智能计算中心、边缘数据中心等建设，对接全国一体化算力网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络粤港澳大湾区国家枢纽节点，积极打造粤港澳大湾区“数据工厂”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数西算”产业转移高地。推动数据中心节能增效，整合规模小、效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益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差、能耗高的数据中心，加快实现集约化、规模化、绿色化发展。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57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厅、大数据发展局、投资促进局，自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治区通信管理局，数字广西建设领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小组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其他成员单位，设区市人民政府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4" w:line="256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推进广西电子政务外网迭代升级改造，扩大覆盖范围。全面推进党政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及隶属管理的企事业单位接入电子政务外网，统一使用本级电子政务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网互联网出口。探索推进新型互联网交换中心试点建设，持续扩容互联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际出口带宽。协同推进“双千兆”网络建设，加快5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网络规模化部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署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推动面向智能制造、数字治理、智慧医疗、智慧交通等领域的5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设。加快构建新一代测绘基准“一张网”,统筹推进实景三维广西建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，打造全区统一时空数据底座。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自治区发展改革委、工业和信息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自然资源厅、交通运输厅、大数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据发展局，自治区通信管理局，数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广西建设领导小组其他成员单位，设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人民政府等按职责分工负责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4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49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12.培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多层次工业互联网平台体系，优化广西工业互联网云平合、广西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业互联网创新体验中心(梦工厂)等基础性平台功能。持续培育和引进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一批工业互联网服务商，完善产业生态供给资源池。加强工业互联网标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识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解析二级节点的建设、运营和推广应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用。加强在交通、能源、水利、市政、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环保等领域规模部署应用智能感知终端，形成物联网、5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、北斗协同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新型传感网络。推进公路、铁路、城市轨道、港口、航道、机场等基础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施智能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升级改造，加快车联网设施部署，支持柳州市建设“5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+车联网”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场景，创建国家级车联网先导区。推进“多杆合一”、“一杆多用”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慧灯杆升级改造。</w:t>
            </w:r>
          </w:p>
        </w:tc>
        <w:tc>
          <w:tcPr>
            <w:tcW w:w="38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5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区发展改革委、科技厅、工业和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息化厅、自然资源厅、生态环境厅、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住房城乡建设厅、交通运输厅、水利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厅、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电局、大数据发展局，自治区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通信管理局，设区市人民政府等按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4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1580515</wp:posOffset>
                </wp:positionV>
                <wp:extent cx="467360" cy="201295"/>
                <wp:effectExtent l="13335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78634" y="1580851"/>
                          <a:ext cx="467359" cy="2012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187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6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1"/>
                                <w:szCs w:val="21"/>
                              </w:rPr>
                              <w:t>4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61.3pt;margin-top:124.45pt;height:15.85pt;width:36.8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9E3zTVAAAACwEAAA8AAAAAAAAAAQAgAAAAIgAAAGRycy9kb3ducmV2LnhtbFBL&#10;AQIUABQAAAAIAIdO4kDlG67GMgIAAGk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87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6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1"/>
                          <w:szCs w:val="21"/>
                        </w:rPr>
                        <w:t>4 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49" w:type="dxa"/>
        <w:tblInd w:w="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724"/>
        <w:gridCol w:w="3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4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50" w:lineRule="auto"/>
              <w:ind w:left="28" w:righ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四、构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筑数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广西“新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3.健全网络安全等级保护、信息系统分级保护、密码应用安全性评估、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风险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估、预警和应急处置制度，推动行业组织建立健全本行业的网络安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全保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规范和协作机制。建设广西数字政府一体安全平台，开展广西数字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府一体安全检查和攻防演练，健全安全防护常态化机制。加快推进灾备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建设。加强信创技术和产品推广应用，加快推进互联网协议第六版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IPv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6)规模部署和应用。完善数据安全保障、应用风险评估及安全审查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制度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完善数据跨境流动安全管理相关制度，提升重要设施设备的安全可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靠水平，增强重点行业数据安全保障能力。强化个人信息保护，加强对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集使用个人信息的安全监管能力。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67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治区党委网信办、密码管理局，自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治区公安厅、大数据发展局，自治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管理局等按职责分工负责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8" w:hRule="atLeast"/>
        </w:trPr>
        <w:tc>
          <w:tcPr>
            <w:tcW w:w="14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14.完善政务云网和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安全管理制度。出台支持新型数字基础设施建设的政</w:t>
            </w:r>
          </w:p>
          <w:p>
            <w:pPr>
              <w:spacing w:before="10" w:line="247" w:lineRule="auto"/>
              <w:ind w:left="42" w:righ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策措施，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实解决用地、用电、用气等要素保障难题。支持符合条件的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基站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、新型数据中心参与电力直接交易，推动将具备条件的5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基站转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供电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改为直供电，规范转供电价格行为。</w:t>
            </w:r>
          </w:p>
        </w:tc>
        <w:tc>
          <w:tcPr>
            <w:tcW w:w="3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38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、自然资源厅、大数据发展局，设</w:t>
            </w:r>
          </w:p>
          <w:p>
            <w:pPr>
              <w:spacing w:before="12" w:line="219" w:lineRule="auto"/>
              <w:ind w:left="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区市人民政府等按职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4" w:bottom="400" w:left="1519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5777865</wp:posOffset>
                </wp:positionV>
                <wp:extent cx="478790" cy="199390"/>
                <wp:effectExtent l="13970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66777" y="5778393"/>
                          <a:ext cx="47879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>—   1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60.35pt;margin-top:454.95pt;height:15.7pt;width:37.7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Br1S9YAAAALAQAADwAAAAAAAAABACAAAAAiAAAAZHJzL2Rvd25yZXYueG1sUEsB&#10;AhQAFAAAAAgAh07iQJfuZ1AwAgAAaQ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>—   1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81" w:lineRule="exact"/>
      </w:pPr>
    </w:p>
    <w:tbl>
      <w:tblPr>
        <w:tblStyle w:val="4"/>
        <w:tblW w:w="13036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14"/>
        <w:gridCol w:w="3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18" w:righ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大力推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进数字化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</w:t>
            </w: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firstLine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15.打造高水平双创平台，争创一批国家级双创示范基地，积极布局建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新飞地”。建立健全数字科技成果转化机制，打造广西科技成果转移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转化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范区，争创国家科技成果转移转化示范区。建设一批数字化转型促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中心，加快促进中国-东盟(华为)人工智能创新中心、中国-东盟信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鲲鹏生态创新中心等成果产出。加强南宁高新区双创示范基地、广西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科技园、国家产教融合试点城市(柳州)等平台载体建设。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66" w:righ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自治区发展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改革委、科技厅、工业和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信息化厅、大数据发展局等按职责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分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工负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5" w:line="257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.加快数字技术向经济社会各领域广泛渗透，推进数字技术、应用场景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商业模式融合创新。以传统特色产业智能化升级为突破，大力开展人工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能应用示范。拓展汽车电子芯片、光通信芯片、功率芯片、射频芯片等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品的下游应用。加强北斗系统与综合立体交通网的深度融合，着力推进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汽车电子标识公共服务平台建设。挖掘身份认证、数据存证、追踪溯源、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值交易等通用场景，在供应链金融、特色农产品溯源、民族医药质量追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、医养健康等领域推动区块链技术深度应用。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区科技厅、工业和信息化厅、公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厅、民政厅、自然资源厅、交通运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厅、农业农村厅、商务厅、卫生健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康委、地方金融监管局、大数据发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人民银行南宁中心支行、广西银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监局等按职责分工负责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5" w:line="251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17.加快构建“智桂通”移动开放生态体系，鼓励各地各部门利用“智桂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通”公共支撑能力开展业务流程和服务模式创新。鼓励发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展新型研发机构、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业创新联合体等新型创新主体，打造多元化参与、网络化协同、市场化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作的创新生态体系。鼓励头部企业、知名高校、科研院所在广西落地研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中 心 。</w:t>
            </w:r>
          </w:p>
        </w:tc>
        <w:tc>
          <w:tcPr>
            <w:tcW w:w="3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区教育厅、科技厅、工业和信息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化厅、国资委、大数据发展局等按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28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1581785</wp:posOffset>
                </wp:positionV>
                <wp:extent cx="467360" cy="199390"/>
                <wp:effectExtent l="133985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72324" y="1581892"/>
                          <a:ext cx="467359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6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1"/>
                                <w:szCs w:val="21"/>
                              </w:rPr>
                              <w:t>6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60.8pt;margin-top:124.55pt;height:15.7pt;width:36.8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nkJNjWAAAACwEAAA8AAAAAAAAAAQAgAAAAIgAAAGRycy9kb3ducmV2LnhtbFBL&#10;AQIUABQAAAAIAIdO4kCmsC73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16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1"/>
                          <w:szCs w:val="21"/>
                        </w:rPr>
                        <w:t>6 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81" w:lineRule="exact"/>
      </w:pPr>
    </w:p>
    <w:tbl>
      <w:tblPr>
        <w:tblStyle w:val="4"/>
        <w:tblW w:w="13025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24"/>
        <w:gridCol w:w="3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、深入推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进经济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53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加快推进数字经济示范区建设，引导数字经济上下游企业加速集聚。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大力推进中国—东盟数字经济产业园、中国电子北部湾信息港等园区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设。巩固发展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创产业生态，打造鲲鹏计算产业集群。深化信创产品应用，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打造自主知识产权拳头产品，鼓励“走出去”。大力发展电子信息制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造业，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聚焦“芯空屏端网”产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业链，重点发展智能终端、计算机和网络通信设备、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显示等产业。做强软件和信息技术服务业，支持研发面向东盟非通用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语种的翻译软件，鼓励推出一批小语种网络实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时翻译、语言包等特色产品。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快前沿技术与各行业深度融合，推动机器视觉产业发展，抢占元字宙技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产业发展制高点。积极培育新业态新模式。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4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自治区发展改革委、科技厅、工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业和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信息化厅、商务厅、大数据发展局，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设区市人民政府等按职责分工负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55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19.加快工业互联网发展，实施“上云用数赋智”工程。加快柳州智能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城、玉林先进装备制造城和南宁高端装备制造城转型升级，支持柳州市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创建国家智能制造先行区。加快产业园区数字化改造。开展“互联网+现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业”行动，打造一批智慧农业示范基地。深化农业大数据应用，建立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农业农村大数据中心。建立家庭农场一码通管理服务机制。实施信息进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入户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程。加快发展电子商务和智慧物流，培育壮大一批跨境电商平台，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推进智慧港口建设，推动重点物流园区数字化升级，构建西部陆海新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道智慧物流网络。实施数字普惠金融服务行动。实施智慧海洋工程。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49" w:lineRule="auto"/>
              <w:ind w:left="4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治区发展改革委、工业和信息化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厅、自然资源厅、交通运输厅、农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村厅、商务厅、国资委、地方金融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管局、北部湾办、大数据发展局、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洋局，人民银行南宁中心支行、广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西税务局、广西银保监局、自治区通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管理局，设区市人民政府等按职责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4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.建立数字化转型“揭榜挂帅”机制，支持和鼓励市场主体参与各类数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字化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共平台建设和数字化转型场景运营，壮大数字经济企业规模。鼓励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型国有企业发展数字产业，吸引数字经济头部企业在广西落地并发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展壮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。聚焦新兴前沿领域，引导中小企业做强做精，积极培育提升一批</w:t>
            </w:r>
          </w:p>
          <w:p>
            <w:pPr>
              <w:spacing w:before="13" w:line="227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新技术企业、“瞪羚”企业、“专精特新”企业。树立一批数字化</w:t>
            </w:r>
          </w:p>
          <w:p>
            <w:pPr>
              <w:spacing w:before="30" w:line="233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转型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杆企业，加快推进区内各级国有企业数字化转型，带动产业链上下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游企业共同发展。强化企业家培育培训，培育一批引领数字经济发展的企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家群体。</w:t>
            </w:r>
          </w:p>
        </w:tc>
        <w:tc>
          <w:tcPr>
            <w:tcW w:w="3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区科技厅、工业和信息化厅、国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委、市场监管局、大数据发展局等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职责分工负责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39" w:bottom="400" w:left="1510" w:header="0" w:footer="0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5912485</wp:posOffset>
                </wp:positionV>
                <wp:extent cx="748030" cy="199390"/>
                <wp:effectExtent l="27432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32067" y="5913103"/>
                          <a:ext cx="748030" cy="1993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1"/>
                                <w:szCs w:val="21"/>
                              </w:rPr>
                              <w:t xml:space="preserve">  17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9.75pt;margin-top:465.55pt;height:15.7pt;width:58.9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wg7rrXAAAACgEAAA8AAAAAAAAAAQAgAAAAIgAAAGRycy9kb3ducmV2LnhtbFBL&#10;AQIUABQAAAAIAIdO4kDh8934MAIAAGkEAAAOAAAAAAAAAAEAIAAAACY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1"/>
                          <w:szCs w:val="21"/>
                        </w:rPr>
                        <w:t xml:space="preserve">—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1"/>
                          <w:szCs w:val="21"/>
                        </w:rPr>
                        <w:t xml:space="preserve">  17  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91" w:lineRule="exact"/>
      </w:pPr>
    </w:p>
    <w:tbl>
      <w:tblPr>
        <w:tblStyle w:val="4"/>
        <w:tblW w:w="13067" w:type="dxa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714"/>
        <w:gridCol w:w="3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38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七、加快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进社会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52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21.加快发展“互联网+教育”,加强教育新型基础设施建设，建设“互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网+教育”大平台，构建智慧教育公共服务体系。推进数字校园和智慧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设，加强智慧型教学空间建设。开发优质数字教育资源，推广线上线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融合教学、智慧课堂等应用。推进全民健康信息平合建设，推广普惠数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医疗，发展互联网医院、远程医疗等医疗服务。推动广西智慧养老服务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台应用，推动信息服务适老化改造优化，加强适老化数字服务供给。探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数字化转型赋能托育服务，发展直播互动式育儿服务，鼓励开发婴幼儿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育课程、父母课堂等。推动就业社保大数据应用，完善数字化就业社保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功能，推广以社会保障卡为载体的“一卡通”服务模式。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56" w:righ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自治区教育厅、民政厅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、人力资源社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会保障厅、卫生健康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委、大数据发展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医保局等按职责分工负责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53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建设广西疫情防控管理一体化平台，以数字化技术构建“党建+网格+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据”管理模式，推动疫情防控全流程数字化管理。推进智慧应急建设，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相关数据跨部门共享，增强突发事件的预警响应和应急协同。加强自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然资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、生态环境、能源等领域智能监测和智慧管理，强化动态感知和立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体防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。加强公安大数据智能化应用，推进视频监控资源联网整合，推动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社会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安防控体系智能化。加强中越边境、北部湾海域等重点区域数字化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防控，构建边防、海防、空防一体化预警监视网络。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56" w:righ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自治区党委政法委，自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治区发展改革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委、公安厅、自然资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源厅、生态环境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厅、应急厅、人防边海防办、北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部湾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办、大数据发展局等按职责分工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8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.发展数字文化，大力发展线上线下一体化、在线在场相结合的数字文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化新体验。推动公共文化资源数字化转型升级，支持文化机构将文化资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转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化为数字产品。推进购物消费、居家生活、交通出行等各类场景数字化。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推广智能电视、智能音响、智能安防等新型数字家庭产品。加强旅游景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字化建设，加快建设“一键游广西”。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59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区教育厅、工业和信息化厅、交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通运输厅、商务厅、文化和旅游厅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电局等按职责分工负责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35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24.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级分类推进国家新型智慧城市试点建设，支持有条件的城市建设“城</w:t>
            </w:r>
          </w:p>
          <w:p>
            <w:pPr>
              <w:spacing w:before="1" w:line="251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脑”,完善城市智能感知体系。在交通调控管理、环境保护、市容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、食品安全、治安维稳等方面深化数字化、智能化技术应用。推进智</w:t>
            </w:r>
          </w:p>
          <w:p>
            <w:pPr>
              <w:spacing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慧社区建设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。</w:t>
            </w:r>
          </w:p>
        </w:tc>
        <w:tc>
          <w:tcPr>
            <w:tcW w:w="3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47" w:lineRule="auto"/>
              <w:ind w:lef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区发展改革委、公安厅、民政厅、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资源厅、生态环境厅、住房城乡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设厅、市场监管局、大数据发展局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等按职责分工负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责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10"/>
          <w:pgMar w:top="1012" w:right="1917" w:bottom="400" w:left="1510" w:header="0" w:footer="0" w:gutter="0"/>
          <w:cols w:space="720" w:num="1"/>
        </w:sectPr>
      </w:pPr>
    </w:p>
    <w:p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958850</wp:posOffset>
            </wp:positionH>
            <wp:positionV relativeFrom="page">
              <wp:posOffset>1472565</wp:posOffset>
            </wp:positionV>
            <wp:extent cx="152400" cy="1524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5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1" w:lineRule="exact"/>
      </w:pPr>
    </w:p>
    <w:tbl>
      <w:tblPr>
        <w:tblStyle w:val="4"/>
        <w:tblW w:w="13046" w:type="dxa"/>
        <w:tblInd w:w="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734"/>
        <w:gridCol w:w="3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3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务内容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left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45" w:lineRule="auto"/>
              <w:ind w:left="28" w:righ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全力推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进乡村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转型</w:t>
            </w: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5.深入推进乡村数字基础设施升级行动。深化农村及偏远地区4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网络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，加速提高5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网络在行政村的通达率，推动千兆光纤网络逐步向行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政村、自然村延伸覆盖。加快实施“壮美广西 ·智慧广电”乡村工程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固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边工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，建设智慧广电公共服务平合，完善应急广播体系。推动农村地区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水利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公路、电力、冷链物流、农业生产加工等基础设施的数字化转型和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能化升级。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治区党委网信办，自治区发展改革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委、农业农村厅、交通运输厅、水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、商务厅、广电局，自治区通信管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理局等按职责分工负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26.稳步扩大涉农政务信息资源共享范围，提高涉农事项全程网上办理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例。扎实推进基层“一枚印章管审批(服务)”改革，实行“一站式服务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“一门式办理”。深化农村综合服务网点覆盖，扩大乡村基层便民服务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、服务站点部署范围，加强政务服务自助终端建设。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25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治区党委网信办，自治区农业农村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大数据发展局，自治区各政务服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务部门，设区市人民政府等按职责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4" w:line="255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27.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快基层党建工作信息化建设，打造“壮美广西 ·党建云”。建设完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善广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巩固脱贫攻坚成果和防止返贫监测信息平台，扩大广西防返贫监测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应用覆盖范围。推进“雪亮工程”不断向广大农村地区延伸。加强乡村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区气象监测站网和自治区抢险救灾物资指挥调度平台建设。推动智慧社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理平台建设。</w:t>
            </w:r>
          </w:p>
        </w:tc>
        <w:tc>
          <w:tcPr>
            <w:tcW w:w="3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治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区党委组织部、政法委、网信办，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治区公安厅、农业农村厅、应急厅、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村振兴局，设区市人民政府等按职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分工负责</w:t>
            </w:r>
          </w:p>
        </w:tc>
      </w:tr>
    </w:tbl>
    <w:p>
      <w:pPr>
        <w:sectPr>
          <w:pgSz w:w="16840" w:h="11910"/>
          <w:pgMar w:top="1012" w:right="1928" w:bottom="400" w:left="1510" w:header="0" w:footer="0" w:gutter="0"/>
          <w:cols w:space="720" w:num="1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zA5ODViOTliOWZmYTE2YzAyMDY4MTQ5YzUxZTQifQ=="/>
  </w:docVars>
  <w:rsids>
    <w:rsidRoot w:val="41245210"/>
    <w:rsid w:val="412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2022-08-26T08:24:00Z</dcterms:created>
  <dc:creator>毛毛毛毛毛驴</dc:creator>
  <cp:lastModifiedBy>毛毛毛毛毛驴</cp:lastModifiedBy>
  <dcterms:modified xsi:type="dcterms:W3CDTF">2022-08-26T08:26:53Z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D3E9E4425EC84D229B9A9EB23CF8DEEB</vt:lpwstr>
  </property>
</Properties>
</file>