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9B4F" w14:textId="09298D02" w:rsidR="00A81B2C" w:rsidRDefault="00A81B2C" w:rsidP="00A81B2C">
      <w:pPr>
        <w:pStyle w:val="a3"/>
      </w:pPr>
      <w:r w:rsidRPr="00A81B2C">
        <w:rPr>
          <w:rFonts w:hint="eastAsia"/>
        </w:rPr>
        <w:t>浙江省企业首席数据官制</w:t>
      </w:r>
      <w:proofErr w:type="gramStart"/>
      <w:r w:rsidRPr="00A81B2C">
        <w:rPr>
          <w:rFonts w:hint="eastAsia"/>
        </w:rPr>
        <w:t>度建设</w:t>
      </w:r>
      <w:proofErr w:type="gramEnd"/>
      <w:r w:rsidRPr="00A81B2C">
        <w:rPr>
          <w:rFonts w:hint="eastAsia"/>
        </w:rPr>
        <w:t>指南（试行）</w:t>
      </w:r>
    </w:p>
    <w:p w14:paraId="56401993" w14:textId="77777777" w:rsidR="00D062C8" w:rsidRPr="00D062C8" w:rsidRDefault="00D062C8" w:rsidP="00D062C8">
      <w:pPr>
        <w:rPr>
          <w:rFonts w:hint="eastAsia"/>
        </w:rPr>
      </w:pPr>
    </w:p>
    <w:p w14:paraId="715AB0F8" w14:textId="77777777" w:rsidR="00A81B2C" w:rsidRPr="00A81B2C" w:rsidRDefault="00A81B2C" w:rsidP="00A81B2C">
      <w:pPr>
        <w:ind w:firstLineChars="200" w:firstLine="480"/>
      </w:pPr>
    </w:p>
    <w:p w14:paraId="013706BC" w14:textId="69379AE1" w:rsidR="00A81B2C" w:rsidRPr="00A81B2C" w:rsidRDefault="00A81B2C" w:rsidP="00A81B2C">
      <w:pPr>
        <w:ind w:firstLineChars="200" w:firstLine="480"/>
      </w:pPr>
      <w:r w:rsidRPr="00A81B2C">
        <w:rPr>
          <w:rFonts w:hint="eastAsia"/>
        </w:rPr>
        <w:t>数据作为新型生产要素，是数字化、网络化、智能化的基础。推行企业设置首席数据官（</w:t>
      </w:r>
      <w:proofErr w:type="spellStart"/>
      <w:r w:rsidRPr="00A81B2C">
        <w:rPr>
          <w:rFonts w:hint="eastAsia"/>
        </w:rPr>
        <w:t>Cheif</w:t>
      </w:r>
      <w:proofErr w:type="spellEnd"/>
      <w:r w:rsidRPr="00A81B2C">
        <w:rPr>
          <w:rFonts w:hint="eastAsia"/>
        </w:rPr>
        <w:t xml:space="preserve"> Data Officer，以下简称“CDO”）制度是引导企业切实用好数据要素、充分挖掘数据价值、推动行业变革创新的重要举措，是加快企业数字化转型、释放数据要素活力、构建数字生产力的有效途径。为深入贯彻落实中共中央、国务院《关于构建数据基础制度更好发挥数据要素作用的意见》、落实《浙江省推进产业数据价值化改革试点方案》，加快引导企业构建首席数据官制度体系，完善企业数据公共服务生态，实现数据治理、数据驱动、数据增值，特制订本指南。</w:t>
      </w:r>
    </w:p>
    <w:p w14:paraId="370A1664" w14:textId="77777777" w:rsidR="00A81B2C" w:rsidRPr="00A81B2C" w:rsidRDefault="00A81B2C" w:rsidP="00A81B2C">
      <w:pPr>
        <w:pStyle w:val="1"/>
        <w:spacing w:before="190" w:after="190"/>
        <w:ind w:firstLine="562"/>
      </w:pPr>
      <w:r w:rsidRPr="00A81B2C">
        <w:t>一、建设原则</w:t>
      </w:r>
    </w:p>
    <w:p w14:paraId="1909C7BC" w14:textId="7620F3D8" w:rsidR="00A81B2C" w:rsidRPr="00A81B2C" w:rsidRDefault="00A81B2C" w:rsidP="00A81B2C">
      <w:pPr>
        <w:ind w:firstLineChars="200" w:firstLine="480"/>
      </w:pPr>
      <w:r w:rsidRPr="00A81B2C">
        <w:t>企业CDO是有效管理和运用企业数据资产、充分挖掘数据价值、驱动业务创新和业务转型变革的企业负责人。企业CDO制度是包括以CDO为首的数据人才队伍的岗位设置、职能职责体系、能力素质要求、选用</w:t>
      </w:r>
      <w:proofErr w:type="gramStart"/>
      <w:r w:rsidRPr="00A81B2C">
        <w:t>育留机制</w:t>
      </w:r>
      <w:proofErr w:type="gramEnd"/>
      <w:r w:rsidRPr="00A81B2C">
        <w:t>等在内的</w:t>
      </w:r>
      <w:proofErr w:type="gramStart"/>
      <w:r w:rsidRPr="00A81B2C">
        <w:t>整套制度</w:t>
      </w:r>
      <w:proofErr w:type="gramEnd"/>
      <w:r w:rsidRPr="00A81B2C">
        <w:t>体系。鼓励国有企业、基础电信企业、大型制造业企业、重点互联网企业率先探索设立CDO，鼓励数字化基础较好、拥有较大规模数据资源、数据产品和服务能力较突出的各类企业设立CDO，按照企业主导、政府引导、价值优先、多方协同、合</w:t>
      </w:r>
      <w:proofErr w:type="gramStart"/>
      <w:r w:rsidRPr="00A81B2C">
        <w:t>规</w:t>
      </w:r>
      <w:proofErr w:type="gramEnd"/>
      <w:r w:rsidRPr="00A81B2C">
        <w:t>发展的原则，参考</w:t>
      </w:r>
      <w:proofErr w:type="gramStart"/>
      <w:r w:rsidRPr="00A81B2C">
        <w:t>本建设</w:t>
      </w:r>
      <w:proofErr w:type="gramEnd"/>
      <w:r w:rsidRPr="00A81B2C">
        <w:t>指南组织实施。</w:t>
      </w:r>
    </w:p>
    <w:p w14:paraId="2740283A" w14:textId="37B6AD3E" w:rsidR="00A81B2C" w:rsidRPr="00A81B2C" w:rsidRDefault="00A81B2C" w:rsidP="00A81B2C">
      <w:pPr>
        <w:ind w:firstLineChars="200" w:firstLine="480"/>
      </w:pPr>
      <w:r w:rsidRPr="00A81B2C">
        <w:t>（一）坚持企业主导</w:t>
      </w:r>
    </w:p>
    <w:p w14:paraId="635403FF" w14:textId="439B4BC5" w:rsidR="00A81B2C" w:rsidRPr="00A81B2C" w:rsidRDefault="00A81B2C" w:rsidP="00A81B2C">
      <w:pPr>
        <w:ind w:firstLineChars="200" w:firstLine="480"/>
      </w:pPr>
      <w:r w:rsidRPr="00A81B2C">
        <w:t>充分发挥市场在资源配置中的决定性作用，强化企业在数据要素市场上的主体地位，支持企业自主设立职位并遴选聘任CDO、自主设立CDO工作机制，充分发挥CDO在数据资产管理、数据人才、数据文化、数据安全等方面的领导作用，加强数据权益保护。</w:t>
      </w:r>
    </w:p>
    <w:p w14:paraId="292A400E" w14:textId="40276D5C" w:rsidR="00A81B2C" w:rsidRPr="00A81B2C" w:rsidRDefault="00A81B2C" w:rsidP="00A81B2C">
      <w:pPr>
        <w:ind w:firstLineChars="200" w:firstLine="480"/>
      </w:pPr>
      <w:r w:rsidRPr="00A81B2C">
        <w:t>（二）坚持政府引导</w:t>
      </w:r>
    </w:p>
    <w:p w14:paraId="54E81A93" w14:textId="22736647" w:rsidR="00A81B2C" w:rsidRPr="00A81B2C" w:rsidRDefault="00A81B2C" w:rsidP="00A81B2C">
      <w:pPr>
        <w:ind w:firstLineChars="200" w:firstLine="480"/>
      </w:pPr>
      <w:r w:rsidRPr="00A81B2C">
        <w:t>省市经信部门鼓励各种类型企业设立CDO，组织CDO培训交流平台，宣传推广企业优秀案例，帮助CDO提升业务水平和工作能力。鼓励各地人才管理部门探索将企业CDO列入产业人才政策范围。强化企业CDO制度与省内未来工厂、智能工厂（数字化车间）、行业产业大脑、工业互联网平台等工作的关联性、系统性和协调性，全面形成工作合力，发挥整体协同效应。</w:t>
      </w:r>
    </w:p>
    <w:p w14:paraId="675049CC" w14:textId="557C73CD" w:rsidR="00A81B2C" w:rsidRPr="00A81B2C" w:rsidRDefault="00A81B2C" w:rsidP="00A81B2C">
      <w:pPr>
        <w:ind w:firstLineChars="200" w:firstLine="480"/>
      </w:pPr>
      <w:r w:rsidRPr="00A81B2C">
        <w:t>（三）坚持价值优先</w:t>
      </w:r>
    </w:p>
    <w:p w14:paraId="0E2C137E" w14:textId="14211DAF" w:rsidR="00A81B2C" w:rsidRPr="00A81B2C" w:rsidRDefault="00A81B2C" w:rsidP="00A81B2C">
      <w:pPr>
        <w:ind w:firstLineChars="200" w:firstLine="480"/>
      </w:pPr>
      <w:r w:rsidRPr="00A81B2C">
        <w:t>鼓励企业CDO充分发现挖掘企业内外部数据价值，推动数据资源开发利用和数据资产化运营，加强数据知识产权登记运用，培育数据创新生态，促进数据资源交易流通，释放数据要素活力，完善数据要素市场体制机制。</w:t>
      </w:r>
    </w:p>
    <w:p w14:paraId="4BF49054" w14:textId="0DDDE183" w:rsidR="00A81B2C" w:rsidRPr="00A81B2C" w:rsidRDefault="00A81B2C" w:rsidP="00A81B2C">
      <w:pPr>
        <w:ind w:firstLineChars="200" w:firstLine="480"/>
      </w:pPr>
      <w:r w:rsidRPr="00A81B2C">
        <w:t>（四）坚持多方协同</w:t>
      </w:r>
    </w:p>
    <w:p w14:paraId="0051D244" w14:textId="47366C19" w:rsidR="00A81B2C" w:rsidRPr="00A81B2C" w:rsidRDefault="00A81B2C" w:rsidP="00A81B2C">
      <w:pPr>
        <w:ind w:firstLineChars="200" w:firstLine="480"/>
      </w:pPr>
      <w:r w:rsidRPr="00A81B2C">
        <w:lastRenderedPageBreak/>
        <w:t>省</w:t>
      </w:r>
      <w:proofErr w:type="gramStart"/>
      <w:r w:rsidRPr="00A81B2C">
        <w:t>经信厅等</w:t>
      </w:r>
      <w:proofErr w:type="gramEnd"/>
      <w:r w:rsidRPr="00A81B2C">
        <w:t>相关部门推动部署全省企业CDO制度建设工作，鼓励引导各地制订相应的支持政策，指导建立CDO人才库；加强行业协会对企业CDO制度建设的宣传、推广和培训，为企业CDO提供人才储备；全省数字化服务商全面参与CDO制度体系建设，为企业数据治理、数据驱动、数据增值提供技术能力支持。</w:t>
      </w:r>
    </w:p>
    <w:p w14:paraId="5DFC35D2" w14:textId="256FA5C0" w:rsidR="00A81B2C" w:rsidRPr="00A81B2C" w:rsidRDefault="00A81B2C" w:rsidP="00A81B2C">
      <w:pPr>
        <w:ind w:firstLineChars="200" w:firstLine="480"/>
      </w:pPr>
      <w:r w:rsidRPr="00A81B2C">
        <w:t>（五）坚持合</w:t>
      </w:r>
      <w:proofErr w:type="gramStart"/>
      <w:r w:rsidRPr="00A81B2C">
        <w:t>规</w:t>
      </w:r>
      <w:proofErr w:type="gramEnd"/>
      <w:r w:rsidRPr="00A81B2C">
        <w:t>发展</w:t>
      </w:r>
    </w:p>
    <w:p w14:paraId="2FA99F32" w14:textId="11708A20" w:rsidR="00A81B2C" w:rsidRPr="00A81B2C" w:rsidRDefault="00A81B2C" w:rsidP="00A81B2C">
      <w:pPr>
        <w:ind w:firstLineChars="200" w:firstLine="480"/>
      </w:pPr>
      <w:r w:rsidRPr="00A81B2C">
        <w:t>引导企业在CDO制度建设运行过程中，深入贯彻落实《中华人民共和国数据安全法》等相关法律法规，坚持以数据开发利用促进数据安全、数据安全保障数据开发利用，严格落实数据分类分级、全生命周期安全管理、数据出境等相关要求，采取必要措施防止数据非法滥用，加强风险监测和应急处置，确保数据资产规范运营。</w:t>
      </w:r>
    </w:p>
    <w:p w14:paraId="194D043A" w14:textId="77777777" w:rsidR="00A81B2C" w:rsidRPr="00A81B2C" w:rsidRDefault="00A81B2C" w:rsidP="00A81B2C">
      <w:pPr>
        <w:pStyle w:val="1"/>
        <w:spacing w:before="190" w:after="190"/>
        <w:ind w:firstLine="562"/>
      </w:pPr>
      <w:r w:rsidRPr="00A81B2C">
        <w:t>二、建设内容</w:t>
      </w:r>
    </w:p>
    <w:p w14:paraId="3AA7EE5A" w14:textId="20E1CC8A" w:rsidR="00A81B2C" w:rsidRPr="00A81B2C" w:rsidRDefault="00A81B2C" w:rsidP="00A81B2C">
      <w:pPr>
        <w:ind w:firstLineChars="200" w:firstLine="480"/>
      </w:pPr>
      <w:r w:rsidRPr="00A81B2C">
        <w:t>（一）企业CDO制度设置</w:t>
      </w:r>
    </w:p>
    <w:p w14:paraId="576FBEE5" w14:textId="57F9B000" w:rsidR="00A81B2C" w:rsidRPr="00A81B2C" w:rsidRDefault="00A81B2C" w:rsidP="00A81B2C">
      <w:pPr>
        <w:ind w:firstLineChars="200" w:firstLine="480"/>
      </w:pPr>
      <w:r w:rsidRPr="00A81B2C">
        <w:t>鼓励在企业决策层设置CDO，全面负责企业数据管理工作，领导数据归口管理部门。条件暂不成熟的企业，可先由现任信息化主管领导兼任CDO。</w:t>
      </w:r>
    </w:p>
    <w:p w14:paraId="74FB4CFA" w14:textId="3354D199" w:rsidR="00A81B2C" w:rsidRPr="00A81B2C" w:rsidRDefault="00A81B2C" w:rsidP="00A81B2C">
      <w:pPr>
        <w:ind w:firstLineChars="200" w:firstLine="480"/>
      </w:pPr>
      <w:r w:rsidRPr="00A81B2C">
        <w:t>推动CDO制度建设作为企业一把手工程，鼓励将CDO制度的基本内容写入企业章程或列入企业管理制度，赋予CDO对企业重大事务的知情权、参与权和决策权，并为CDO履行职责提供组织机构、人员编制、资金保障等各种必要条件。此外，有条件的企业可以将CDO培训纳入企业年度培训计划、经费计划。</w:t>
      </w:r>
    </w:p>
    <w:p w14:paraId="67C50156" w14:textId="6375A556" w:rsidR="00A81B2C" w:rsidRPr="00A81B2C" w:rsidRDefault="00A81B2C" w:rsidP="00A81B2C">
      <w:pPr>
        <w:ind w:firstLineChars="200" w:firstLine="480"/>
      </w:pPr>
      <w:r w:rsidRPr="00A81B2C">
        <w:t>鼓励国有企业、基础电信企业、大型制造业企业、重点互联网企业设立数据领导小组和数据管理部门，由企业主要负责人、CDO等组成，对企业数据管理重大事项进行决策。</w:t>
      </w:r>
    </w:p>
    <w:p w14:paraId="0BD13D73" w14:textId="601A13C7" w:rsidR="00A81B2C" w:rsidRPr="00A81B2C" w:rsidRDefault="00A81B2C" w:rsidP="00A81B2C">
      <w:pPr>
        <w:ind w:firstLineChars="200" w:firstLine="480"/>
      </w:pPr>
      <w:r w:rsidRPr="00A81B2C">
        <w:t>（二）企业CDO岗位职责</w:t>
      </w:r>
    </w:p>
    <w:p w14:paraId="752F2C42" w14:textId="1647EB49" w:rsidR="00A81B2C" w:rsidRPr="00A81B2C" w:rsidRDefault="00A81B2C" w:rsidP="00A81B2C">
      <w:pPr>
        <w:ind w:firstLineChars="200" w:firstLine="480"/>
      </w:pPr>
      <w:r w:rsidRPr="00A81B2C">
        <w:t xml:space="preserve"> CDO负责制定和执行数据战略，协调各部门落实相关数据项目；整合企业内外数据，创新挖掘数据资产价值，用数据赋能社会经济发展；制定企业数据标准和政策，强化数据合</w:t>
      </w:r>
      <w:proofErr w:type="gramStart"/>
      <w:r w:rsidRPr="00A81B2C">
        <w:t>规</w:t>
      </w:r>
      <w:proofErr w:type="gramEnd"/>
      <w:r w:rsidRPr="00A81B2C">
        <w:t>、数据治理；推广数据驱动决策的思维，提升员工数据战略能力，促进企业数据文化转型，激发企业变革。具体职责如下：</w:t>
      </w:r>
    </w:p>
    <w:p w14:paraId="2DC1C4C2" w14:textId="2275A501" w:rsidR="00A81B2C" w:rsidRPr="00A81B2C" w:rsidRDefault="00A81B2C" w:rsidP="00A81B2C">
      <w:pPr>
        <w:ind w:firstLineChars="200" w:firstLine="480"/>
      </w:pPr>
      <w:r w:rsidRPr="00A81B2C">
        <w:t>1.制定数据战略。面向企业数字化转型，负责制订企业全域数据架构规划，建立数据治理组织架构，健全业务驱动数据治理的体制机制，全面实现企业数字化管理、数字化运行、</w:t>
      </w:r>
      <w:proofErr w:type="gramStart"/>
      <w:r w:rsidRPr="00A81B2C">
        <w:t>数智决策</w:t>
      </w:r>
      <w:proofErr w:type="gramEnd"/>
      <w:r w:rsidRPr="00A81B2C">
        <w:t>。面向企业数据资产管理与增值，制定全面系统的数据资产管理与价值开发战略，规划各级目标，对企业数据架构、数据治理和数据质量方面的工作进行规划和指导，确保数据发挥战略性资产的作用为企业战略和业务目标提供支撑。</w:t>
      </w:r>
    </w:p>
    <w:p w14:paraId="7DA605CA" w14:textId="5B81ED33" w:rsidR="00A81B2C" w:rsidRPr="00A81B2C" w:rsidRDefault="00A81B2C" w:rsidP="00A81B2C">
      <w:pPr>
        <w:ind w:firstLineChars="200" w:firstLine="480"/>
      </w:pPr>
      <w:r w:rsidRPr="00A81B2C">
        <w:t>2.整合数据资产。构建系统全面的数据资产基础，建立完善数据知识产权登记保护制度，高效管理企业自有数据及合作伙伴关系，寻求企业内外新的数据源，扩大企业数据生态系统，协调各方面数据资源促成交换共享、应用集成和职能协</w:t>
      </w:r>
      <w:r w:rsidRPr="00A81B2C">
        <w:lastRenderedPageBreak/>
        <w:t>同。</w:t>
      </w:r>
    </w:p>
    <w:p w14:paraId="653902E1" w14:textId="6F20E1C3" w:rsidR="00A81B2C" w:rsidRPr="00A81B2C" w:rsidRDefault="00A81B2C" w:rsidP="00A81B2C">
      <w:pPr>
        <w:ind w:firstLineChars="200" w:firstLine="480"/>
      </w:pPr>
      <w:r w:rsidRPr="00A81B2C">
        <w:t>3.创新价值挖掘。强化数据驱动决策思维，以新的方式组合数据，创新数据应用场景，迭代数据算法规则，挖掘数据价值，谋求新的价值增长点，支撑企业策略优化，构建创造长期价值的平台。</w:t>
      </w:r>
    </w:p>
    <w:p w14:paraId="57304C2D" w14:textId="53D6B66A" w:rsidR="00A81B2C" w:rsidRPr="00A81B2C" w:rsidRDefault="00A81B2C" w:rsidP="00A81B2C">
      <w:pPr>
        <w:ind w:firstLineChars="200" w:firstLine="480"/>
      </w:pPr>
      <w:r w:rsidRPr="00A81B2C">
        <w:t>4.落实数据项目。高效落实数据战略规划要求，实现数据战略分解下沉与落地，建立标准化数据项目工作流程，推动或支持企业各层级具有战略意义的数据项目。</w:t>
      </w:r>
    </w:p>
    <w:p w14:paraId="72E73D66" w14:textId="34E1C1DB" w:rsidR="00A81B2C" w:rsidRPr="00A81B2C" w:rsidRDefault="00A81B2C" w:rsidP="00A81B2C">
      <w:pPr>
        <w:ind w:firstLineChars="200" w:firstLine="480"/>
      </w:pPr>
      <w:r w:rsidRPr="00A81B2C">
        <w:t>5.促进文化转型。通过为企业构建总体数据分析战略，利用数据分析影响业务，追求实现数据价值化，提高企业员工数据资产意识与数据处理技能，营造由数据驱动的企业文化，激发企业决策模式转型。</w:t>
      </w:r>
    </w:p>
    <w:p w14:paraId="2C2B7734" w14:textId="77C753AB" w:rsidR="00A81B2C" w:rsidRPr="00A81B2C" w:rsidRDefault="00A81B2C" w:rsidP="00A81B2C">
      <w:pPr>
        <w:ind w:firstLineChars="200" w:firstLine="480"/>
      </w:pPr>
      <w:r w:rsidRPr="00A81B2C">
        <w:t xml:space="preserve"> 6.保障数据安全。遵守国家相关法律法规，识别并管控在数据采集、传输、存储、处理、交换等关键节点的数据安全风险，在企业业务数据化、数据资产化、资产服务化、服务业务化的数据能力建设全流程中，建立企业数据安全防护工作体系和保障机制，负责并监管企业数据质量管理，满足程序及法律合</w:t>
      </w:r>
      <w:proofErr w:type="gramStart"/>
      <w:r w:rsidRPr="00A81B2C">
        <w:t>规</w:t>
      </w:r>
      <w:proofErr w:type="gramEnd"/>
      <w:r w:rsidRPr="00A81B2C">
        <w:t>性。</w:t>
      </w:r>
    </w:p>
    <w:p w14:paraId="1A88D731" w14:textId="4EBE5B74" w:rsidR="00A81B2C" w:rsidRPr="00A81B2C" w:rsidRDefault="00A81B2C" w:rsidP="00A81B2C">
      <w:pPr>
        <w:ind w:firstLineChars="200" w:firstLine="480"/>
      </w:pPr>
      <w:r w:rsidRPr="00A81B2C">
        <w:t>（三）企业CDO能力要求</w:t>
      </w:r>
    </w:p>
    <w:p w14:paraId="0EB4295A" w14:textId="6F9F564B" w:rsidR="00A81B2C" w:rsidRPr="00A81B2C" w:rsidRDefault="00A81B2C" w:rsidP="00A81B2C">
      <w:pPr>
        <w:ind w:firstLineChars="200" w:firstLine="480"/>
      </w:pPr>
      <w:r w:rsidRPr="00A81B2C">
        <w:t>CDO需具有良好的职业道德和敬业精神；具有组织管理能力与沟通协调能力；具有数据战略理念，掌握数据领域业务理论和技术；了解本企业的业务状况和所处的行业背景，具备数据与业务统筹分析的能力；具有数据安全意识与风险管控能力，熟悉并遵守国家相关法律法规和标准。其核心能力和素质包括：</w:t>
      </w:r>
    </w:p>
    <w:p w14:paraId="30A31E2A" w14:textId="095DD41F" w:rsidR="00A81B2C" w:rsidRPr="00A81B2C" w:rsidRDefault="00A81B2C" w:rsidP="00A81B2C">
      <w:pPr>
        <w:ind w:firstLineChars="200" w:firstLine="480"/>
      </w:pPr>
      <w:r w:rsidRPr="00A81B2C">
        <w:t>1.数据战略思维与规划能力。对数据领域具有深刻理解，掌握数据搜集、治理、分析应用等方面的业务理论和技术手段，能对数据资产治理和价值挖掘工作进行系统全面的战略规划和布局，善用数据驱动决策思维，善用数据驱动企业组织变革，善用数据驱动业务创新增值。</w:t>
      </w:r>
    </w:p>
    <w:p w14:paraId="7CC8FB22" w14:textId="7E90857C" w:rsidR="00A81B2C" w:rsidRPr="00A81B2C" w:rsidRDefault="00A81B2C" w:rsidP="00A81B2C">
      <w:pPr>
        <w:ind w:firstLineChars="200" w:firstLine="480"/>
      </w:pPr>
      <w:r w:rsidRPr="00A81B2C">
        <w:t>2.业务领域经验与行业洞察力。系统掌握行业背景、市场动态、核心业务、客户及其他利益相关者的诉求变化，理解所在行业的数据内涵、数据资产价值，准确判断数据资产为企业及行业发展带来的新机遇和风险，利用数据提示及时调整企业经营管理策略。</w:t>
      </w:r>
    </w:p>
    <w:p w14:paraId="45574B4D" w14:textId="524D67B6" w:rsidR="00A81B2C" w:rsidRPr="00A81B2C" w:rsidRDefault="00A81B2C" w:rsidP="00A81B2C">
      <w:pPr>
        <w:ind w:firstLineChars="200" w:firstLine="480"/>
      </w:pPr>
      <w:r w:rsidRPr="00A81B2C">
        <w:t>3.数据价值挖掘分析能力。善于利用新技术、新手段，挖掘企业数据资产潜在价值，创新数据供需模式，保护数据知识产权，主动引导数据资产价值扩大化，通过数据赋能，推动业务创新发展，实现商业价值。</w:t>
      </w:r>
    </w:p>
    <w:p w14:paraId="40F09DDE" w14:textId="0B262B07" w:rsidR="00A81B2C" w:rsidRPr="00A81B2C" w:rsidRDefault="00A81B2C" w:rsidP="00A81B2C">
      <w:pPr>
        <w:ind w:firstLineChars="200" w:firstLine="480"/>
      </w:pPr>
      <w:r w:rsidRPr="00A81B2C">
        <w:t>4.领导力与沟通协调能力。具有良好的理解表述和团队领导能力，善于整合各方资源与协调各方诉求，带领数据工作团队，高效执行数据战略任务，推动实现数据价值化发展目标。</w:t>
      </w:r>
    </w:p>
    <w:p w14:paraId="69E51FC5" w14:textId="7F521615" w:rsidR="00A81B2C" w:rsidRPr="00A81B2C" w:rsidRDefault="00A81B2C" w:rsidP="00A81B2C">
      <w:pPr>
        <w:ind w:firstLineChars="200" w:firstLine="480"/>
      </w:pPr>
      <w:r w:rsidRPr="00A81B2C">
        <w:t>5.法律思维与安全意识。熟悉并遵守相关法律法规，确保企业数据战略与项目能满足法律合</w:t>
      </w:r>
      <w:proofErr w:type="gramStart"/>
      <w:r w:rsidRPr="00A81B2C">
        <w:t>规</w:t>
      </w:r>
      <w:proofErr w:type="gramEnd"/>
      <w:r w:rsidRPr="00A81B2C">
        <w:t>性，并能敏锐识别和管理数据安全风险。</w:t>
      </w:r>
    </w:p>
    <w:p w14:paraId="1600A568" w14:textId="77777777" w:rsidR="00A81B2C" w:rsidRPr="00A81B2C" w:rsidRDefault="00A81B2C" w:rsidP="00A81B2C">
      <w:pPr>
        <w:pStyle w:val="1"/>
        <w:spacing w:before="190" w:after="190"/>
        <w:ind w:firstLine="562"/>
      </w:pPr>
      <w:r w:rsidRPr="00A81B2C">
        <w:lastRenderedPageBreak/>
        <w:t>三、保障措施</w:t>
      </w:r>
    </w:p>
    <w:p w14:paraId="31D63C48" w14:textId="4439FAAA" w:rsidR="00A81B2C" w:rsidRPr="00A81B2C" w:rsidRDefault="00A81B2C" w:rsidP="00A81B2C">
      <w:pPr>
        <w:ind w:firstLineChars="200" w:firstLine="480"/>
      </w:pPr>
      <w:r w:rsidRPr="00A81B2C">
        <w:t>（一）加强组织领导</w:t>
      </w:r>
    </w:p>
    <w:p w14:paraId="02D36429" w14:textId="29EB5574" w:rsidR="00A81B2C" w:rsidRPr="00A81B2C" w:rsidRDefault="00A81B2C" w:rsidP="00A81B2C">
      <w:pPr>
        <w:ind w:firstLineChars="200" w:firstLine="480"/>
      </w:pPr>
      <w:r w:rsidRPr="00A81B2C">
        <w:t>省</w:t>
      </w:r>
      <w:proofErr w:type="gramStart"/>
      <w:r w:rsidRPr="00A81B2C">
        <w:t>经信厅会同</w:t>
      </w:r>
      <w:proofErr w:type="gramEnd"/>
      <w:r w:rsidRPr="00A81B2C">
        <w:t>相关部门建立CDO工作沟通机制，加强跟踪服务指导。各市、县（市、区）经</w:t>
      </w:r>
      <w:proofErr w:type="gramStart"/>
      <w:r w:rsidRPr="00A81B2C">
        <w:t>信主管</w:t>
      </w:r>
      <w:proofErr w:type="gramEnd"/>
      <w:r w:rsidRPr="00A81B2C">
        <w:t>部门跟踪掌握各行业企业数据现状与需求，支持建立企业数据要素流通基础平台、数据知识产权登记平台等，落实服务指导工作，为CDO高效履职提供强有力工作保障。</w:t>
      </w:r>
    </w:p>
    <w:p w14:paraId="02B62FBF" w14:textId="67726075" w:rsidR="00A81B2C" w:rsidRPr="00A81B2C" w:rsidRDefault="00A81B2C" w:rsidP="00A81B2C">
      <w:pPr>
        <w:ind w:firstLineChars="200" w:firstLine="480"/>
      </w:pPr>
      <w:r w:rsidRPr="00A81B2C">
        <w:t>（二）完善政策引导</w:t>
      </w:r>
    </w:p>
    <w:p w14:paraId="2252645E" w14:textId="4CE0CF02" w:rsidR="00A81B2C" w:rsidRPr="00A81B2C" w:rsidRDefault="00A81B2C" w:rsidP="00A81B2C">
      <w:pPr>
        <w:ind w:firstLineChars="200" w:firstLine="480"/>
      </w:pPr>
      <w:r w:rsidRPr="00A81B2C">
        <w:t xml:space="preserve"> 鼓励各市、县（市、区）经</w:t>
      </w:r>
      <w:proofErr w:type="gramStart"/>
      <w:r w:rsidRPr="00A81B2C">
        <w:t>信主管</w:t>
      </w:r>
      <w:proofErr w:type="gramEnd"/>
      <w:r w:rsidRPr="00A81B2C">
        <w:t>部门将企业CDO制度建设纳入政策支持范围，出台本地适配政策；支持有意愿且数字化基础条件较好的市、县（市、区）进一步完善工作程序和建设标准，组织开展企业CDO 制度试点建设，重点鼓励DCMM试点企业、制造业“云上企业”等率先开展CDO制度试点。</w:t>
      </w:r>
    </w:p>
    <w:p w14:paraId="4DE13A8B" w14:textId="3238ECCA" w:rsidR="00A81B2C" w:rsidRPr="00A81B2C" w:rsidRDefault="00A81B2C" w:rsidP="00A81B2C">
      <w:pPr>
        <w:ind w:firstLineChars="200" w:firstLine="480"/>
      </w:pPr>
      <w:r w:rsidRPr="00A81B2C">
        <w:t>（三）营造良好氛围</w:t>
      </w:r>
    </w:p>
    <w:p w14:paraId="32043D45" w14:textId="3F441726" w:rsidR="006F1ADD" w:rsidRPr="00E57EC6" w:rsidRDefault="00A81B2C" w:rsidP="00A81B2C">
      <w:pPr>
        <w:ind w:firstLineChars="200" w:firstLine="480"/>
      </w:pPr>
      <w:r w:rsidRPr="00A81B2C">
        <w:t>鼓励企业加强数据人才队伍建设，加大CDO人才引进和培养力度，激发人才创新活力。支持设立首席数据官联盟。鼓励CDO联盟、相关行业协会积极推广企业CDO制度、建立全省CDO人才资源库、强化CDO培训、办好重大活动、深化CDO互动交流，提高各行业、各领域数据管理水平。发挥新闻媒体作用，大力宣传企业建立CDO制度的成效、典型案例、试点标杆，营造全省推进企业CDO制度建设的良好氛围。</w:t>
      </w:r>
    </w:p>
    <w:sectPr w:rsidR="006F1ADD" w:rsidRPr="00E57EC6" w:rsidSect="00A070B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53C9" w14:textId="77777777" w:rsidR="00B44AAB" w:rsidRDefault="00B44AAB" w:rsidP="00A070B1">
      <w:r>
        <w:separator/>
      </w:r>
    </w:p>
  </w:endnote>
  <w:endnote w:type="continuationSeparator" w:id="0">
    <w:p w14:paraId="544AF6B2" w14:textId="77777777" w:rsidR="00B44AAB" w:rsidRDefault="00B44AAB" w:rsidP="00A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2E73" w14:textId="77777777" w:rsidR="00811583" w:rsidRPr="00811583" w:rsidRDefault="00811583">
    <w:pPr>
      <w:pStyle w:val="a7"/>
      <w:rPr>
        <w:sz w:val="22"/>
        <w:szCs w:val="22"/>
      </w:rPr>
    </w:pPr>
    <w:r w:rsidRPr="00811583">
      <w:rPr>
        <w:sz w:val="22"/>
        <w:szCs w:val="22"/>
      </w:rPr>
      <w:t>-</w:t>
    </w:r>
    <w:sdt>
      <w:sdtPr>
        <w:rPr>
          <w:sz w:val="22"/>
          <w:szCs w:val="22"/>
        </w:rPr>
        <w:id w:val="-1919315476"/>
        <w:docPartObj>
          <w:docPartGallery w:val="Page Numbers (Bottom of Page)"/>
          <w:docPartUnique/>
        </w:docPartObj>
      </w:sdtPr>
      <w:sdtContent>
        <w:r w:rsidRPr="00811583">
          <w:rPr>
            <w:sz w:val="22"/>
            <w:szCs w:val="22"/>
          </w:rPr>
          <w:fldChar w:fldCharType="begin"/>
        </w:r>
        <w:r w:rsidRPr="00811583">
          <w:rPr>
            <w:sz w:val="22"/>
            <w:szCs w:val="22"/>
          </w:rPr>
          <w:instrText>PAGE   \* MERGEFORMAT</w:instrText>
        </w:r>
        <w:r w:rsidRPr="00811583">
          <w:rPr>
            <w:sz w:val="22"/>
            <w:szCs w:val="22"/>
          </w:rPr>
          <w:fldChar w:fldCharType="separate"/>
        </w:r>
        <w:r w:rsidRPr="00811583">
          <w:rPr>
            <w:sz w:val="22"/>
            <w:szCs w:val="22"/>
            <w:lang w:val="zh-CN"/>
          </w:rPr>
          <w:t>2</w:t>
        </w:r>
        <w:r w:rsidRPr="00811583">
          <w:rPr>
            <w:sz w:val="22"/>
            <w:szCs w:val="22"/>
          </w:rPr>
          <w:fldChar w:fldCharType="end"/>
        </w:r>
      </w:sdtContent>
    </w:sdt>
    <w:r w:rsidRPr="00811583">
      <w:rPr>
        <w:sz w:val="22"/>
        <w:szCs w:val="22"/>
      </w:rPr>
      <w:t>-</w:t>
    </w:r>
  </w:p>
  <w:p w14:paraId="4A89C313" w14:textId="77777777" w:rsidR="00811583" w:rsidRDefault="008115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EA64" w14:textId="77777777" w:rsidR="00A070B1" w:rsidRPr="00A070B1" w:rsidRDefault="00A070B1" w:rsidP="00811583">
    <w:pPr>
      <w:pStyle w:val="a7"/>
      <w:jc w:val="right"/>
      <w:rPr>
        <w:sz w:val="22"/>
        <w:szCs w:val="22"/>
      </w:rPr>
    </w:pPr>
    <w:r w:rsidRPr="00A070B1">
      <w:rPr>
        <w:sz w:val="22"/>
        <w:szCs w:val="22"/>
      </w:rPr>
      <w:t>-</w:t>
    </w:r>
    <w:sdt>
      <w:sdtPr>
        <w:rPr>
          <w:sz w:val="22"/>
          <w:szCs w:val="22"/>
        </w:rPr>
        <w:id w:val="1003096074"/>
        <w:docPartObj>
          <w:docPartGallery w:val="Page Numbers (Bottom of Page)"/>
          <w:docPartUnique/>
        </w:docPartObj>
      </w:sdtPr>
      <w:sdtContent>
        <w:r w:rsidRPr="00A070B1">
          <w:rPr>
            <w:sz w:val="22"/>
            <w:szCs w:val="22"/>
          </w:rPr>
          <w:fldChar w:fldCharType="begin"/>
        </w:r>
        <w:r w:rsidRPr="00A070B1">
          <w:rPr>
            <w:sz w:val="22"/>
            <w:szCs w:val="22"/>
          </w:rPr>
          <w:instrText>PAGE   \* MERGEFORMAT</w:instrText>
        </w:r>
        <w:r w:rsidRPr="00A070B1">
          <w:rPr>
            <w:sz w:val="22"/>
            <w:szCs w:val="22"/>
          </w:rPr>
          <w:fldChar w:fldCharType="separate"/>
        </w:r>
        <w:r w:rsidRPr="00A070B1">
          <w:rPr>
            <w:sz w:val="22"/>
            <w:szCs w:val="22"/>
            <w:lang w:val="zh-CN"/>
          </w:rPr>
          <w:t>2</w:t>
        </w:r>
        <w:r w:rsidRPr="00A070B1">
          <w:rPr>
            <w:sz w:val="22"/>
            <w:szCs w:val="22"/>
          </w:rPr>
          <w:fldChar w:fldCharType="end"/>
        </w:r>
      </w:sdtContent>
    </w:sdt>
    <w:r w:rsidRPr="00A070B1">
      <w:rPr>
        <w:sz w:val="22"/>
        <w:szCs w:val="22"/>
      </w:rPr>
      <w:t>-</w:t>
    </w:r>
  </w:p>
  <w:p w14:paraId="352FEE92" w14:textId="77777777" w:rsidR="00A070B1" w:rsidRDefault="00A070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6BAF" w14:textId="77777777" w:rsidR="00B44AAB" w:rsidRDefault="00B44AAB" w:rsidP="00A070B1">
      <w:r>
        <w:separator/>
      </w:r>
    </w:p>
  </w:footnote>
  <w:footnote w:type="continuationSeparator" w:id="0">
    <w:p w14:paraId="4444D512" w14:textId="77777777" w:rsidR="00B44AAB" w:rsidRDefault="00B44AAB" w:rsidP="00A0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2C"/>
    <w:rsid w:val="00040BAE"/>
    <w:rsid w:val="00053797"/>
    <w:rsid w:val="0007204A"/>
    <w:rsid w:val="000A072A"/>
    <w:rsid w:val="000B620A"/>
    <w:rsid w:val="000C1891"/>
    <w:rsid w:val="000F6B8F"/>
    <w:rsid w:val="001051D0"/>
    <w:rsid w:val="0013434C"/>
    <w:rsid w:val="001A20FF"/>
    <w:rsid w:val="001B4BF9"/>
    <w:rsid w:val="001C5D56"/>
    <w:rsid w:val="001D31F6"/>
    <w:rsid w:val="002327C4"/>
    <w:rsid w:val="00241D66"/>
    <w:rsid w:val="0025175F"/>
    <w:rsid w:val="00256AD3"/>
    <w:rsid w:val="002E17B6"/>
    <w:rsid w:val="002E7167"/>
    <w:rsid w:val="002F6753"/>
    <w:rsid w:val="00305250"/>
    <w:rsid w:val="003118C6"/>
    <w:rsid w:val="00355984"/>
    <w:rsid w:val="0037724C"/>
    <w:rsid w:val="00391B68"/>
    <w:rsid w:val="003D24DC"/>
    <w:rsid w:val="003E7F45"/>
    <w:rsid w:val="00403109"/>
    <w:rsid w:val="00420AC5"/>
    <w:rsid w:val="00471512"/>
    <w:rsid w:val="005137D6"/>
    <w:rsid w:val="00541C4F"/>
    <w:rsid w:val="005A68B3"/>
    <w:rsid w:val="005B0BA4"/>
    <w:rsid w:val="005D10CD"/>
    <w:rsid w:val="00605C87"/>
    <w:rsid w:val="00617013"/>
    <w:rsid w:val="00635A6B"/>
    <w:rsid w:val="00677381"/>
    <w:rsid w:val="00684258"/>
    <w:rsid w:val="00695C36"/>
    <w:rsid w:val="006A4720"/>
    <w:rsid w:val="006C5AE8"/>
    <w:rsid w:val="006C7020"/>
    <w:rsid w:val="006F1ADD"/>
    <w:rsid w:val="00723D26"/>
    <w:rsid w:val="00745528"/>
    <w:rsid w:val="00794CEA"/>
    <w:rsid w:val="007A2607"/>
    <w:rsid w:val="007D3245"/>
    <w:rsid w:val="007E5263"/>
    <w:rsid w:val="007F4CD0"/>
    <w:rsid w:val="00807ED8"/>
    <w:rsid w:val="00811583"/>
    <w:rsid w:val="0081698D"/>
    <w:rsid w:val="00856914"/>
    <w:rsid w:val="00886076"/>
    <w:rsid w:val="008934AA"/>
    <w:rsid w:val="008969C3"/>
    <w:rsid w:val="0098157B"/>
    <w:rsid w:val="00994F56"/>
    <w:rsid w:val="009F795F"/>
    <w:rsid w:val="00A070B1"/>
    <w:rsid w:val="00A3364D"/>
    <w:rsid w:val="00A51ABE"/>
    <w:rsid w:val="00A57239"/>
    <w:rsid w:val="00A63EB3"/>
    <w:rsid w:val="00A64224"/>
    <w:rsid w:val="00A81B2C"/>
    <w:rsid w:val="00A84C4C"/>
    <w:rsid w:val="00A915B1"/>
    <w:rsid w:val="00AD257A"/>
    <w:rsid w:val="00AF4E3C"/>
    <w:rsid w:val="00B01954"/>
    <w:rsid w:val="00B44871"/>
    <w:rsid w:val="00B44AAB"/>
    <w:rsid w:val="00B553E1"/>
    <w:rsid w:val="00B55A4A"/>
    <w:rsid w:val="00B76ECA"/>
    <w:rsid w:val="00B82172"/>
    <w:rsid w:val="00BC0CB7"/>
    <w:rsid w:val="00BD0C1D"/>
    <w:rsid w:val="00BE0C70"/>
    <w:rsid w:val="00C0533F"/>
    <w:rsid w:val="00CA39CB"/>
    <w:rsid w:val="00CD619B"/>
    <w:rsid w:val="00D00EDF"/>
    <w:rsid w:val="00D062C8"/>
    <w:rsid w:val="00D414EE"/>
    <w:rsid w:val="00D66A21"/>
    <w:rsid w:val="00DA6693"/>
    <w:rsid w:val="00DD0221"/>
    <w:rsid w:val="00DD75F6"/>
    <w:rsid w:val="00DE4F5E"/>
    <w:rsid w:val="00E06934"/>
    <w:rsid w:val="00E15AC2"/>
    <w:rsid w:val="00E46882"/>
    <w:rsid w:val="00E475F8"/>
    <w:rsid w:val="00E52037"/>
    <w:rsid w:val="00E52FEC"/>
    <w:rsid w:val="00E57EC6"/>
    <w:rsid w:val="00E64AAF"/>
    <w:rsid w:val="00ED0B29"/>
    <w:rsid w:val="00EE368F"/>
    <w:rsid w:val="00F25139"/>
    <w:rsid w:val="00F2515B"/>
    <w:rsid w:val="00F46911"/>
    <w:rsid w:val="00F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428A"/>
  <w15:chartTrackingRefBased/>
  <w15:docId w15:val="{7F53EAE5-8A53-4ABB-A944-A8CB8B4F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ADD"/>
    <w:pPr>
      <w:widowControl w:val="0"/>
      <w:jc w:val="both"/>
    </w:pPr>
    <w:rPr>
      <w:rFonts w:ascii="宋体" w:eastAsia="宋体" w:hAnsi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D062C8"/>
    <w:pPr>
      <w:keepNext/>
      <w:keepLines/>
      <w:spacing w:beforeLines="50" w:before="50" w:afterLines="50" w:after="50"/>
      <w:ind w:firstLineChars="200" w:firstLine="2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E7167"/>
    <w:pPr>
      <w:keepNext/>
      <w:keepLines/>
      <w:ind w:firstLineChars="200" w:firstLine="200"/>
      <w:outlineLvl w:val="1"/>
    </w:pPr>
    <w:rPr>
      <w:rFonts w:ascii="楷体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25139"/>
    <w:pPr>
      <w:keepNext/>
      <w:keepLines/>
      <w:ind w:firstLineChars="200" w:firstLine="200"/>
      <w:outlineLvl w:val="2"/>
    </w:pPr>
    <w:rPr>
      <w:rFonts w:ascii="楷体" w:eastAsia="楷体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D619B"/>
    <w:pPr>
      <w:keepNext/>
      <w:keepLines/>
      <w:ind w:firstLineChars="200" w:firstLine="200"/>
      <w:outlineLvl w:val="3"/>
    </w:pPr>
    <w:rPr>
      <w:rFonts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D619B"/>
    <w:pPr>
      <w:keepNext/>
      <w:keepLines/>
      <w:ind w:firstLineChars="200" w:firstLine="200"/>
      <w:outlineLvl w:val="4"/>
    </w:pPr>
    <w:rPr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rsid w:val="0068425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4F5E"/>
    <w:pPr>
      <w:spacing w:line="440" w:lineRule="exact"/>
      <w:jc w:val="center"/>
    </w:pPr>
    <w:rPr>
      <w:rFonts w:hAnsiTheme="majorHAnsi" w:cstheme="majorBidi"/>
      <w:b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DE4F5E"/>
    <w:rPr>
      <w:rFonts w:ascii="宋体" w:eastAsia="宋体" w:hAnsiTheme="majorHAnsi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D062C8"/>
    <w:rPr>
      <w:rFonts w:ascii="宋体" w:eastAsia="宋体" w:hAnsi="宋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2E7167"/>
    <w:rPr>
      <w:rFonts w:ascii="楷体" w:eastAsia="楷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F25139"/>
    <w:rPr>
      <w:rFonts w:ascii="楷体" w:eastAsia="楷体" w:hAnsi="宋体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CD619B"/>
    <w:rPr>
      <w:rFonts w:ascii="仿宋_GB2312" w:eastAsia="仿宋_GB2312" w:hAnsiTheme="majorHAnsi" w:cstheme="majorBidi"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CD619B"/>
    <w:rPr>
      <w:rFonts w:ascii="仿宋_GB2312" w:eastAsia="仿宋_GB2312"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68425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7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70B1"/>
    <w:rPr>
      <w:rFonts w:ascii="仿宋_GB2312"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7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70B1"/>
    <w:rPr>
      <w:rFonts w:ascii="仿宋_GB2312" w:eastAsia="仿宋_GB231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E4F5E"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2968</Characters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2023-01-28T10:55:00Z</cp:lastPrinted>
  <dcterms:created xsi:type="dcterms:W3CDTF">2023-07-15T12:57:00Z</dcterms:created>
  <dcterms:modified xsi:type="dcterms:W3CDTF">2023-07-16T13:10:00Z</dcterms:modified>
</cp:coreProperties>
</file>