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9650" w14:textId="77777777" w:rsidR="00D579A3" w:rsidRDefault="00D579A3" w:rsidP="00D579A3">
      <w:pPr>
        <w:pStyle w:val="a3"/>
      </w:pPr>
      <w:r w:rsidRPr="00D579A3">
        <w:rPr>
          <w:rFonts w:hint="eastAsia"/>
        </w:rPr>
        <w:t>上海市促进浦东新区数据流通交易若干规定</w:t>
      </w:r>
    </w:p>
    <w:p w14:paraId="18A1C51F" w14:textId="15DFC59B" w:rsidR="00D579A3" w:rsidRDefault="00D579A3" w:rsidP="00D579A3">
      <w:pPr>
        <w:pStyle w:val="a3"/>
      </w:pPr>
      <w:r w:rsidRPr="00D579A3">
        <w:rPr>
          <w:rFonts w:hint="eastAsia"/>
        </w:rPr>
        <w:t>（草案）</w:t>
      </w:r>
    </w:p>
    <w:p w14:paraId="24DF7187" w14:textId="77777777" w:rsidR="00D579A3" w:rsidRPr="00D579A3" w:rsidRDefault="00D579A3" w:rsidP="00D579A3">
      <w:pPr>
        <w:rPr>
          <w:rFonts w:hint="eastAsia"/>
        </w:rPr>
      </w:pPr>
    </w:p>
    <w:p w14:paraId="11140204" w14:textId="77777777" w:rsidR="00D579A3" w:rsidRPr="00D579A3" w:rsidRDefault="00D579A3" w:rsidP="00D579A3">
      <w:pPr>
        <w:rPr>
          <w:rFonts w:hint="eastAsia"/>
        </w:rPr>
      </w:pPr>
      <w:r w:rsidRPr="00D579A3">
        <w:rPr>
          <w:rFonts w:hint="eastAsia"/>
        </w:rPr>
        <w:t xml:space="preserve">　　第一条 （目的和依据）</w:t>
      </w:r>
    </w:p>
    <w:p w14:paraId="479E1F6E" w14:textId="77777777" w:rsidR="00D579A3" w:rsidRPr="00D579A3" w:rsidRDefault="00D579A3" w:rsidP="00D579A3">
      <w:pPr>
        <w:rPr>
          <w:rFonts w:hint="eastAsia"/>
        </w:rPr>
      </w:pPr>
      <w:r w:rsidRPr="00D579A3">
        <w:rPr>
          <w:rFonts w:hint="eastAsia"/>
        </w:rPr>
        <w:t xml:space="preserve">　　为了促进数据高效流通，激活数据要素潜能，规范数据交易行为，做</w:t>
      </w:r>
      <w:proofErr w:type="gramStart"/>
      <w:r w:rsidRPr="00D579A3">
        <w:rPr>
          <w:rFonts w:hint="eastAsia"/>
        </w:rPr>
        <w:t>强做</w:t>
      </w:r>
      <w:proofErr w:type="gramEnd"/>
      <w:r w:rsidRPr="00D579A3">
        <w:rPr>
          <w:rFonts w:hint="eastAsia"/>
        </w:rPr>
        <w:t>优做大数字经济，根据有关法律、行政法规的基本原则，结合浦东新区实际，制定本规定。</w:t>
      </w:r>
    </w:p>
    <w:p w14:paraId="18289FD9" w14:textId="77777777" w:rsidR="00D579A3" w:rsidRPr="00D579A3" w:rsidRDefault="00D579A3" w:rsidP="00D579A3">
      <w:pPr>
        <w:rPr>
          <w:rFonts w:hint="eastAsia"/>
        </w:rPr>
      </w:pPr>
      <w:r w:rsidRPr="00D579A3">
        <w:rPr>
          <w:rFonts w:hint="eastAsia"/>
        </w:rPr>
        <w:t xml:space="preserve">　　第二条（适用范围）</w:t>
      </w:r>
    </w:p>
    <w:p w14:paraId="6988F5FC" w14:textId="77777777" w:rsidR="00D579A3" w:rsidRPr="00D579A3" w:rsidRDefault="00D579A3" w:rsidP="00D579A3">
      <w:pPr>
        <w:rPr>
          <w:rFonts w:hint="eastAsia"/>
        </w:rPr>
      </w:pPr>
      <w:r w:rsidRPr="00D579A3">
        <w:rPr>
          <w:rFonts w:hint="eastAsia"/>
        </w:rPr>
        <w:t xml:space="preserve">　　本规定适用于在浦东新区行政区域内开展的数据流通交易以及相关的促进、保障和监管等活动。</w:t>
      </w:r>
    </w:p>
    <w:p w14:paraId="4651C08E" w14:textId="77777777" w:rsidR="00D579A3" w:rsidRPr="00D579A3" w:rsidRDefault="00D579A3" w:rsidP="00D579A3">
      <w:pPr>
        <w:rPr>
          <w:rFonts w:hint="eastAsia"/>
        </w:rPr>
      </w:pPr>
      <w:r w:rsidRPr="00D579A3">
        <w:rPr>
          <w:rFonts w:hint="eastAsia"/>
        </w:rPr>
        <w:t xml:space="preserve">　　第三条（总体要求）</w:t>
      </w:r>
    </w:p>
    <w:p w14:paraId="4954D2AA" w14:textId="77777777" w:rsidR="00D579A3" w:rsidRPr="00D579A3" w:rsidRDefault="00D579A3" w:rsidP="00D579A3">
      <w:pPr>
        <w:rPr>
          <w:rFonts w:hint="eastAsia"/>
        </w:rPr>
      </w:pPr>
      <w:r w:rsidRPr="00D579A3">
        <w:rPr>
          <w:rFonts w:hint="eastAsia"/>
        </w:rPr>
        <w:t xml:space="preserve">　　本市促进浦东新区数据流通交易，应当注重发挥数据要素作用，统筹高效流通、规范交易和数据安全，维护数据产权人合法权益，构建促进使用和流通、场内场外相结合的交易制度体系，打造安全可信、包容创新、公平开放、监管有效的数据要素市场环境。</w:t>
      </w:r>
    </w:p>
    <w:p w14:paraId="56229DBF" w14:textId="77777777" w:rsidR="00D579A3" w:rsidRPr="00D579A3" w:rsidRDefault="00D579A3" w:rsidP="00D579A3">
      <w:pPr>
        <w:rPr>
          <w:rFonts w:hint="eastAsia"/>
        </w:rPr>
      </w:pPr>
      <w:r w:rsidRPr="00D579A3">
        <w:rPr>
          <w:rFonts w:hint="eastAsia"/>
        </w:rPr>
        <w:t xml:space="preserve">　　第四条 （政府及部门职责）</w:t>
      </w:r>
    </w:p>
    <w:p w14:paraId="090A8800" w14:textId="77777777" w:rsidR="00D579A3" w:rsidRPr="00D579A3" w:rsidRDefault="00D579A3" w:rsidP="00D579A3">
      <w:pPr>
        <w:rPr>
          <w:rFonts w:hint="eastAsia"/>
        </w:rPr>
      </w:pPr>
      <w:r w:rsidRPr="00D579A3">
        <w:rPr>
          <w:rFonts w:hint="eastAsia"/>
        </w:rPr>
        <w:t xml:space="preserve">　　市人民政府应当加强对数字经济发展工作的领导，完善促进数据流通交易的工作协调机制和政策措施，研究决定数据流通交易创新发展中的重大问题，不断优化本市数据要素市场环境。</w:t>
      </w:r>
    </w:p>
    <w:p w14:paraId="741012C8" w14:textId="77777777" w:rsidR="00D579A3" w:rsidRPr="00D579A3" w:rsidRDefault="00D579A3" w:rsidP="00D579A3">
      <w:pPr>
        <w:rPr>
          <w:rFonts w:hint="eastAsia"/>
        </w:rPr>
      </w:pPr>
      <w:r w:rsidRPr="00D579A3">
        <w:rPr>
          <w:rFonts w:hint="eastAsia"/>
        </w:rPr>
        <w:t xml:space="preserve">　　浦东新区人民政府应当采取措施推进数据流通交易工作，培育数据要素市场生态，推动建设数据要素产业集聚区。</w:t>
      </w:r>
    </w:p>
    <w:p w14:paraId="27AD77FF" w14:textId="77777777" w:rsidR="00D579A3" w:rsidRPr="00D579A3" w:rsidRDefault="00D579A3" w:rsidP="00D579A3">
      <w:pPr>
        <w:rPr>
          <w:rFonts w:hint="eastAsia"/>
        </w:rPr>
      </w:pPr>
      <w:r w:rsidRPr="00D579A3">
        <w:rPr>
          <w:rFonts w:hint="eastAsia"/>
        </w:rPr>
        <w:t xml:space="preserve">　　市经济和信息化、发展改革、网信、金融等部门应当与浦东新区建立工作会商机制，促进数据流通交易创新发展，推动建设国家级数据交易所，推进数据要素产业规划布局和产业发展。</w:t>
      </w:r>
    </w:p>
    <w:p w14:paraId="44E1367F" w14:textId="77777777" w:rsidR="00D579A3" w:rsidRPr="00D579A3" w:rsidRDefault="00D579A3" w:rsidP="00D579A3">
      <w:pPr>
        <w:rPr>
          <w:rFonts w:hint="eastAsia"/>
        </w:rPr>
      </w:pPr>
      <w:r w:rsidRPr="00D579A3">
        <w:rPr>
          <w:rFonts w:hint="eastAsia"/>
        </w:rPr>
        <w:t xml:space="preserve">　　市和浦东新区科技、财政、国资、商务、知识产权、市场监管、司法行政、大数据管理等部门，根据各自职责和本规定，负责促进浦东新区数据流通交易的相关工作。</w:t>
      </w:r>
    </w:p>
    <w:p w14:paraId="0EF47D35" w14:textId="77777777" w:rsidR="00D579A3" w:rsidRPr="00D579A3" w:rsidRDefault="00D579A3" w:rsidP="00D579A3">
      <w:pPr>
        <w:rPr>
          <w:rFonts w:hint="eastAsia"/>
        </w:rPr>
      </w:pPr>
      <w:r w:rsidRPr="00D579A3">
        <w:rPr>
          <w:rFonts w:hint="eastAsia"/>
        </w:rPr>
        <w:t xml:space="preserve">　　第五条（数据产权人）</w:t>
      </w:r>
    </w:p>
    <w:p w14:paraId="54741047" w14:textId="77777777" w:rsidR="00D579A3" w:rsidRPr="00D579A3" w:rsidRDefault="00D579A3" w:rsidP="00D579A3">
      <w:pPr>
        <w:rPr>
          <w:rFonts w:hint="eastAsia"/>
        </w:rPr>
      </w:pPr>
      <w:r w:rsidRPr="00D579A3">
        <w:rPr>
          <w:rFonts w:hint="eastAsia"/>
        </w:rPr>
        <w:t xml:space="preserve">　　本市依法保护数据产权人的数据权益，建立以数据价值创造和价值实现为导向的数据要素收益分配机制，保障数据产权人依据各自在数据生产、采集、加工、流通、应用等环节中的贡献参与数据要素收益分配。</w:t>
      </w:r>
    </w:p>
    <w:p w14:paraId="03A14C36" w14:textId="77777777" w:rsidR="00D579A3" w:rsidRPr="00D579A3" w:rsidRDefault="00D579A3" w:rsidP="00D579A3">
      <w:pPr>
        <w:rPr>
          <w:rFonts w:hint="eastAsia"/>
        </w:rPr>
      </w:pPr>
      <w:r w:rsidRPr="00D579A3">
        <w:rPr>
          <w:rFonts w:hint="eastAsia"/>
        </w:rPr>
        <w:t xml:space="preserve">　　数据产权人包括：</w:t>
      </w:r>
    </w:p>
    <w:p w14:paraId="5DF573FB" w14:textId="77777777" w:rsidR="00D579A3" w:rsidRPr="00D579A3" w:rsidRDefault="00D579A3" w:rsidP="00D579A3">
      <w:pPr>
        <w:rPr>
          <w:rFonts w:hint="eastAsia"/>
        </w:rPr>
      </w:pPr>
      <w:r w:rsidRPr="00D579A3">
        <w:rPr>
          <w:rFonts w:hint="eastAsia"/>
        </w:rPr>
        <w:t xml:space="preserve">　　（一）数据生产者、采集者；</w:t>
      </w:r>
    </w:p>
    <w:p w14:paraId="2C6F3F26" w14:textId="77777777" w:rsidR="00D579A3" w:rsidRPr="00D579A3" w:rsidRDefault="00D579A3" w:rsidP="00D579A3">
      <w:pPr>
        <w:rPr>
          <w:rFonts w:hint="eastAsia"/>
        </w:rPr>
      </w:pPr>
      <w:r w:rsidRPr="00D579A3">
        <w:rPr>
          <w:rFonts w:hint="eastAsia"/>
        </w:rPr>
        <w:t xml:space="preserve">　　（二）数据加工者、使用者；</w:t>
      </w:r>
    </w:p>
    <w:p w14:paraId="42D65BE9" w14:textId="77777777" w:rsidR="00D579A3" w:rsidRPr="00D579A3" w:rsidRDefault="00D579A3" w:rsidP="00D579A3">
      <w:pPr>
        <w:rPr>
          <w:rFonts w:hint="eastAsia"/>
        </w:rPr>
      </w:pPr>
      <w:r w:rsidRPr="00D579A3">
        <w:rPr>
          <w:rFonts w:hint="eastAsia"/>
        </w:rPr>
        <w:t xml:space="preserve">　　（三）数据产品经营者；</w:t>
      </w:r>
    </w:p>
    <w:p w14:paraId="3490E1F2" w14:textId="77777777" w:rsidR="00D579A3" w:rsidRPr="00D579A3" w:rsidRDefault="00D579A3" w:rsidP="00D579A3">
      <w:pPr>
        <w:rPr>
          <w:rFonts w:hint="eastAsia"/>
        </w:rPr>
      </w:pPr>
      <w:r w:rsidRPr="00D579A3">
        <w:rPr>
          <w:rFonts w:hint="eastAsia"/>
        </w:rPr>
        <w:t xml:space="preserve">　　（四）法律、法规规定的其他数据产权人。</w:t>
      </w:r>
    </w:p>
    <w:p w14:paraId="3538D4C3" w14:textId="77777777" w:rsidR="00D579A3" w:rsidRPr="00D579A3" w:rsidRDefault="00D579A3" w:rsidP="00D579A3">
      <w:pPr>
        <w:rPr>
          <w:rFonts w:hint="eastAsia"/>
        </w:rPr>
      </w:pPr>
      <w:r w:rsidRPr="00D579A3">
        <w:rPr>
          <w:rFonts w:hint="eastAsia"/>
        </w:rPr>
        <w:lastRenderedPageBreak/>
        <w:t xml:space="preserve">　　第六条（数据权益）</w:t>
      </w:r>
    </w:p>
    <w:p w14:paraId="6046FA21" w14:textId="77777777" w:rsidR="00D579A3" w:rsidRPr="00D579A3" w:rsidRDefault="00D579A3" w:rsidP="00D579A3">
      <w:pPr>
        <w:rPr>
          <w:rFonts w:hint="eastAsia"/>
        </w:rPr>
      </w:pPr>
      <w:r w:rsidRPr="00D579A3">
        <w:rPr>
          <w:rFonts w:hint="eastAsia"/>
        </w:rPr>
        <w:t xml:space="preserve">　　本市根据数据来源和数据生成特征，探索建立数据资源持有权、数据加工使用权、数据产品经营权分置机制。</w:t>
      </w:r>
    </w:p>
    <w:p w14:paraId="1DF6B429" w14:textId="77777777" w:rsidR="00D579A3" w:rsidRPr="00D579A3" w:rsidRDefault="00D579A3" w:rsidP="00D579A3">
      <w:pPr>
        <w:rPr>
          <w:rFonts w:hint="eastAsia"/>
        </w:rPr>
      </w:pPr>
      <w:r w:rsidRPr="00D579A3">
        <w:rPr>
          <w:rFonts w:hint="eastAsia"/>
        </w:rPr>
        <w:t xml:space="preserve">　　数据产权人在生产经营活动中自主生产、采集并持有数据资源的，依法享有数据资源持有权，可以通过管理、传输等方式控制数据资源，排除他人干涉。</w:t>
      </w:r>
    </w:p>
    <w:p w14:paraId="1C6A3927" w14:textId="77777777" w:rsidR="00D579A3" w:rsidRPr="00D579A3" w:rsidRDefault="00D579A3" w:rsidP="00D579A3">
      <w:pPr>
        <w:rPr>
          <w:rFonts w:hint="eastAsia"/>
        </w:rPr>
      </w:pPr>
      <w:r w:rsidRPr="00D579A3">
        <w:rPr>
          <w:rFonts w:hint="eastAsia"/>
        </w:rPr>
        <w:t xml:space="preserve">　　数据产权人基于数据资源持有权或者基于交易、流通等合同约定，依法享有数据加工使用权，可以对数据进行实质性加工或者创新性劳动，形成数据产品并实现价值。</w:t>
      </w:r>
    </w:p>
    <w:p w14:paraId="321F3FBF" w14:textId="77777777" w:rsidR="00D579A3" w:rsidRPr="00D579A3" w:rsidRDefault="00D579A3" w:rsidP="00D579A3">
      <w:pPr>
        <w:rPr>
          <w:rFonts w:hint="eastAsia"/>
        </w:rPr>
      </w:pPr>
      <w:r w:rsidRPr="00D579A3">
        <w:rPr>
          <w:rFonts w:hint="eastAsia"/>
        </w:rPr>
        <w:t xml:space="preserve">　　数据产权人自行或委托他人加工、分析形成数据产品的，依法享有数据产品经营权，可以自主经营，也可以委托他人经营，对数据产品进行市场化流通并取得收益。</w:t>
      </w:r>
    </w:p>
    <w:p w14:paraId="73DD4D2A" w14:textId="77777777" w:rsidR="00D579A3" w:rsidRPr="00D579A3" w:rsidRDefault="00D579A3" w:rsidP="00D579A3">
      <w:pPr>
        <w:rPr>
          <w:rFonts w:hint="eastAsia"/>
        </w:rPr>
      </w:pPr>
      <w:r w:rsidRPr="00D579A3">
        <w:rPr>
          <w:rFonts w:hint="eastAsia"/>
        </w:rPr>
        <w:t xml:space="preserve">　　法律、行政法规和国家另有规定的，从其规定。</w:t>
      </w:r>
    </w:p>
    <w:p w14:paraId="0BE628BD" w14:textId="77777777" w:rsidR="00D579A3" w:rsidRPr="00D579A3" w:rsidRDefault="00D579A3" w:rsidP="00D579A3">
      <w:pPr>
        <w:rPr>
          <w:rFonts w:hint="eastAsia"/>
        </w:rPr>
      </w:pPr>
      <w:r w:rsidRPr="00D579A3">
        <w:rPr>
          <w:rFonts w:hint="eastAsia"/>
        </w:rPr>
        <w:t xml:space="preserve">　　第七条 （培育数据要素市场）</w:t>
      </w:r>
    </w:p>
    <w:p w14:paraId="17B5A478" w14:textId="77777777" w:rsidR="00D579A3" w:rsidRPr="00D579A3" w:rsidRDefault="00D579A3" w:rsidP="00D579A3">
      <w:pPr>
        <w:rPr>
          <w:rFonts w:hint="eastAsia"/>
        </w:rPr>
      </w:pPr>
      <w:r w:rsidRPr="00D579A3">
        <w:rPr>
          <w:rFonts w:hint="eastAsia"/>
        </w:rPr>
        <w:t xml:space="preserve">　　本市培育公平、开放、有序、诚信的数据要素市场，统筹推进场内场外数据流通交易，建立健全统一登记、规范交易、灵活交付、集中清算的数据流通交易运营机制。</w:t>
      </w:r>
    </w:p>
    <w:p w14:paraId="2E733FD9" w14:textId="77777777" w:rsidR="00D579A3" w:rsidRPr="00D579A3" w:rsidRDefault="00D579A3" w:rsidP="00D579A3">
      <w:pPr>
        <w:rPr>
          <w:rFonts w:hint="eastAsia"/>
        </w:rPr>
      </w:pPr>
      <w:r w:rsidRPr="00D579A3">
        <w:rPr>
          <w:rFonts w:hint="eastAsia"/>
        </w:rPr>
        <w:t xml:space="preserve">　　本市支持浦东新区开展数据要素市场化配置改革试点，规范引导场外交易，培育壮大场内交易，促进数据要素依法有序流动。</w:t>
      </w:r>
    </w:p>
    <w:p w14:paraId="166540C6" w14:textId="77777777" w:rsidR="00D579A3" w:rsidRPr="00D579A3" w:rsidRDefault="00D579A3" w:rsidP="00D579A3">
      <w:pPr>
        <w:rPr>
          <w:rFonts w:hint="eastAsia"/>
        </w:rPr>
      </w:pPr>
      <w:r w:rsidRPr="00D579A3">
        <w:rPr>
          <w:rFonts w:hint="eastAsia"/>
        </w:rPr>
        <w:t xml:space="preserve">　　第八条（建设国家级数据交易所）</w:t>
      </w:r>
    </w:p>
    <w:p w14:paraId="4572B6B5" w14:textId="77777777" w:rsidR="00D579A3" w:rsidRPr="00D579A3" w:rsidRDefault="00D579A3" w:rsidP="00D579A3">
      <w:pPr>
        <w:rPr>
          <w:rFonts w:hint="eastAsia"/>
        </w:rPr>
      </w:pPr>
      <w:r w:rsidRPr="00D579A3">
        <w:rPr>
          <w:rFonts w:hint="eastAsia"/>
        </w:rPr>
        <w:t xml:space="preserve">　　本市按照国家要求，提升上海数据交易所能级，打造全国数据要素市场核心枢纽。</w:t>
      </w:r>
    </w:p>
    <w:p w14:paraId="5CD8223B" w14:textId="77777777" w:rsidR="00D579A3" w:rsidRPr="00D579A3" w:rsidRDefault="00D579A3" w:rsidP="00D579A3">
      <w:pPr>
        <w:rPr>
          <w:rFonts w:hint="eastAsia"/>
        </w:rPr>
      </w:pPr>
      <w:r w:rsidRPr="00D579A3">
        <w:rPr>
          <w:rFonts w:hint="eastAsia"/>
        </w:rPr>
        <w:t xml:space="preserve">　　上海数据交易所应当突出国家级数据交易所的基础性公共服务和自律合</w:t>
      </w:r>
      <w:proofErr w:type="gramStart"/>
      <w:r w:rsidRPr="00D579A3">
        <w:rPr>
          <w:rFonts w:hint="eastAsia"/>
        </w:rPr>
        <w:t>规</w:t>
      </w:r>
      <w:proofErr w:type="gramEnd"/>
      <w:r w:rsidRPr="00D579A3">
        <w:rPr>
          <w:rFonts w:hint="eastAsia"/>
        </w:rPr>
        <w:t>监管功能，面向和服务全国统一大市场，提供高效可信的交易场所和环境，制定高水平的交易规则和标准，提供高质量的数据交易和相关公共服务。</w:t>
      </w:r>
    </w:p>
    <w:p w14:paraId="6AA62186" w14:textId="77777777" w:rsidR="00D579A3" w:rsidRPr="00D579A3" w:rsidRDefault="00D579A3" w:rsidP="00D579A3">
      <w:pPr>
        <w:rPr>
          <w:rFonts w:hint="eastAsia"/>
        </w:rPr>
      </w:pPr>
      <w:r w:rsidRPr="00D579A3">
        <w:rPr>
          <w:rFonts w:hint="eastAsia"/>
        </w:rPr>
        <w:t xml:space="preserve">　　本市支持上海数据交易所根据国家和本市数字化发展战略，结合全球数据要素市场发展趋势，创新数据交易品种和交易方式，建立健全多领域、多层次数据交易板块。</w:t>
      </w:r>
    </w:p>
    <w:p w14:paraId="026107B2" w14:textId="77777777" w:rsidR="00D579A3" w:rsidRPr="00D579A3" w:rsidRDefault="00D579A3" w:rsidP="00D579A3">
      <w:pPr>
        <w:rPr>
          <w:rFonts w:hint="eastAsia"/>
        </w:rPr>
      </w:pPr>
      <w:r w:rsidRPr="00D579A3">
        <w:rPr>
          <w:rFonts w:hint="eastAsia"/>
        </w:rPr>
        <w:t xml:space="preserve">　　第九条 （“一链三平台”基础设施建设）</w:t>
      </w:r>
    </w:p>
    <w:p w14:paraId="5F70EE5C" w14:textId="77777777" w:rsidR="00D579A3" w:rsidRPr="00D579A3" w:rsidRDefault="00D579A3" w:rsidP="00D579A3">
      <w:pPr>
        <w:rPr>
          <w:rFonts w:hint="eastAsia"/>
        </w:rPr>
      </w:pPr>
      <w:r w:rsidRPr="00D579A3">
        <w:rPr>
          <w:rFonts w:hint="eastAsia"/>
        </w:rPr>
        <w:t xml:space="preserve">　　本市深化区块链在数据流通交易中的应用，支持在上海数据交易所建立以数据交易链为核心的数据流通交易关键基础设施和登记平台、交易平台、清算平台，实现多层次要素市场互联互通、场内场外交易互认互信，支撑数据要素价值转化和数据交易合</w:t>
      </w:r>
      <w:proofErr w:type="gramStart"/>
      <w:r w:rsidRPr="00D579A3">
        <w:rPr>
          <w:rFonts w:hint="eastAsia"/>
        </w:rPr>
        <w:t>规</w:t>
      </w:r>
      <w:proofErr w:type="gramEnd"/>
      <w:r w:rsidRPr="00D579A3">
        <w:rPr>
          <w:rFonts w:hint="eastAsia"/>
        </w:rPr>
        <w:t>监管，构建低成本、高效率、可信赖的数据流通交易环境。</w:t>
      </w:r>
    </w:p>
    <w:p w14:paraId="0A753032" w14:textId="77777777" w:rsidR="00D579A3" w:rsidRPr="00D579A3" w:rsidRDefault="00D579A3" w:rsidP="00D579A3">
      <w:pPr>
        <w:rPr>
          <w:rFonts w:hint="eastAsia"/>
        </w:rPr>
      </w:pPr>
      <w:r w:rsidRPr="00D579A3">
        <w:rPr>
          <w:rFonts w:hint="eastAsia"/>
        </w:rPr>
        <w:t xml:space="preserve">　　第十条（可交易数据产品）</w:t>
      </w:r>
    </w:p>
    <w:p w14:paraId="4CC6A071" w14:textId="77777777" w:rsidR="00D579A3" w:rsidRPr="00D579A3" w:rsidRDefault="00D579A3" w:rsidP="00D579A3">
      <w:pPr>
        <w:rPr>
          <w:rFonts w:hint="eastAsia"/>
        </w:rPr>
      </w:pPr>
      <w:r w:rsidRPr="00D579A3">
        <w:rPr>
          <w:rFonts w:hint="eastAsia"/>
        </w:rPr>
        <w:t xml:space="preserve">　　数据产品符合以下条件且经合</w:t>
      </w:r>
      <w:proofErr w:type="gramStart"/>
      <w:r w:rsidRPr="00D579A3">
        <w:rPr>
          <w:rFonts w:hint="eastAsia"/>
        </w:rPr>
        <w:t>规</w:t>
      </w:r>
      <w:proofErr w:type="gramEnd"/>
      <w:r w:rsidRPr="00D579A3">
        <w:rPr>
          <w:rFonts w:hint="eastAsia"/>
        </w:rPr>
        <w:t>评估和质量评估的，可以通过上海数据交易所挂牌交易：</w:t>
      </w:r>
    </w:p>
    <w:p w14:paraId="7B05E451" w14:textId="77777777" w:rsidR="00D579A3" w:rsidRPr="00D579A3" w:rsidRDefault="00D579A3" w:rsidP="00D579A3">
      <w:pPr>
        <w:rPr>
          <w:rFonts w:hint="eastAsia"/>
        </w:rPr>
      </w:pPr>
      <w:r w:rsidRPr="00D579A3">
        <w:rPr>
          <w:rFonts w:hint="eastAsia"/>
        </w:rPr>
        <w:t xml:space="preserve">　　（一）数据内容合</w:t>
      </w:r>
      <w:proofErr w:type="gramStart"/>
      <w:r w:rsidRPr="00D579A3">
        <w:rPr>
          <w:rFonts w:hint="eastAsia"/>
        </w:rPr>
        <w:t>规</w:t>
      </w:r>
      <w:proofErr w:type="gramEnd"/>
      <w:r w:rsidRPr="00D579A3">
        <w:rPr>
          <w:rFonts w:hint="eastAsia"/>
        </w:rPr>
        <w:t>、真实可用；</w:t>
      </w:r>
    </w:p>
    <w:p w14:paraId="2C14EC64" w14:textId="77777777" w:rsidR="00D579A3" w:rsidRPr="00D579A3" w:rsidRDefault="00D579A3" w:rsidP="00D579A3">
      <w:pPr>
        <w:rPr>
          <w:rFonts w:hint="eastAsia"/>
        </w:rPr>
      </w:pPr>
      <w:r w:rsidRPr="00D579A3">
        <w:rPr>
          <w:rFonts w:hint="eastAsia"/>
        </w:rPr>
        <w:lastRenderedPageBreak/>
        <w:t xml:space="preserve">　　（二）具有明确的应用场景或者使用案例；</w:t>
      </w:r>
    </w:p>
    <w:p w14:paraId="39BD80A2" w14:textId="77777777" w:rsidR="00D579A3" w:rsidRPr="00D579A3" w:rsidRDefault="00D579A3" w:rsidP="00D579A3">
      <w:pPr>
        <w:rPr>
          <w:rFonts w:hint="eastAsia"/>
        </w:rPr>
      </w:pPr>
      <w:r w:rsidRPr="00D579A3">
        <w:rPr>
          <w:rFonts w:hint="eastAsia"/>
        </w:rPr>
        <w:t xml:space="preserve">　　（三）能够提供测试数据；</w:t>
      </w:r>
    </w:p>
    <w:p w14:paraId="35FCAB8E" w14:textId="77777777" w:rsidR="00D579A3" w:rsidRPr="00D579A3" w:rsidRDefault="00D579A3" w:rsidP="00D579A3">
      <w:pPr>
        <w:rPr>
          <w:rFonts w:hint="eastAsia"/>
        </w:rPr>
      </w:pPr>
      <w:r w:rsidRPr="00D579A3">
        <w:rPr>
          <w:rFonts w:hint="eastAsia"/>
        </w:rPr>
        <w:t xml:space="preserve">　　（四）具有可持续供给的技术能力或者数据更新能力；</w:t>
      </w:r>
    </w:p>
    <w:p w14:paraId="394E4539" w14:textId="77777777" w:rsidR="00D579A3" w:rsidRPr="00D579A3" w:rsidRDefault="00D579A3" w:rsidP="00D579A3">
      <w:pPr>
        <w:rPr>
          <w:rFonts w:hint="eastAsia"/>
        </w:rPr>
      </w:pPr>
      <w:r w:rsidRPr="00D579A3">
        <w:rPr>
          <w:rFonts w:hint="eastAsia"/>
        </w:rPr>
        <w:t xml:space="preserve">　　（五）符合可定价的要求。</w:t>
      </w:r>
    </w:p>
    <w:p w14:paraId="0AC25EFF" w14:textId="77777777" w:rsidR="00D579A3" w:rsidRPr="00D579A3" w:rsidRDefault="00D579A3" w:rsidP="00D579A3">
      <w:pPr>
        <w:rPr>
          <w:rFonts w:hint="eastAsia"/>
        </w:rPr>
      </w:pPr>
      <w:r w:rsidRPr="00D579A3">
        <w:rPr>
          <w:rFonts w:hint="eastAsia"/>
        </w:rPr>
        <w:t xml:space="preserve">　　数据产品通过上海数据交易所进行交易的，交易主体依法自主约定数据产品的交付方式，并按照规则完成清算。数据产品的登记、交易、交付、清算等信息应当在数据交易链上形成不可篡改的凭证。</w:t>
      </w:r>
    </w:p>
    <w:p w14:paraId="5DC31475" w14:textId="77777777" w:rsidR="00D579A3" w:rsidRPr="00D579A3" w:rsidRDefault="00D579A3" w:rsidP="00D579A3">
      <w:pPr>
        <w:rPr>
          <w:rFonts w:hint="eastAsia"/>
        </w:rPr>
      </w:pPr>
      <w:r w:rsidRPr="00D579A3">
        <w:rPr>
          <w:rFonts w:hint="eastAsia"/>
        </w:rPr>
        <w:t xml:space="preserve">　　未通过上海数据交易所进行的数据交易，鼓励参照执行前两款规定的条件。</w:t>
      </w:r>
    </w:p>
    <w:p w14:paraId="1FF4B2B5" w14:textId="77777777" w:rsidR="00D579A3" w:rsidRPr="00D579A3" w:rsidRDefault="00D579A3" w:rsidP="00D579A3">
      <w:pPr>
        <w:rPr>
          <w:rFonts w:hint="eastAsia"/>
        </w:rPr>
      </w:pPr>
      <w:r w:rsidRPr="00D579A3">
        <w:rPr>
          <w:rFonts w:hint="eastAsia"/>
        </w:rPr>
        <w:t xml:space="preserve">　　第十一条 （数据资产化）</w:t>
      </w:r>
    </w:p>
    <w:p w14:paraId="09789A4E" w14:textId="77777777" w:rsidR="00D579A3" w:rsidRPr="00D579A3" w:rsidRDefault="00D579A3" w:rsidP="00D579A3">
      <w:pPr>
        <w:rPr>
          <w:rFonts w:hint="eastAsia"/>
        </w:rPr>
      </w:pPr>
      <w:r w:rsidRPr="00D579A3">
        <w:rPr>
          <w:rFonts w:hint="eastAsia"/>
        </w:rPr>
        <w:t xml:space="preserve">　　本市支持创新数据资产化机制，按照国家财政部门的部署，探索数据资产纳入资产负债表的实现路径。</w:t>
      </w:r>
    </w:p>
    <w:p w14:paraId="72C45FED" w14:textId="77777777" w:rsidR="00D579A3" w:rsidRPr="00D579A3" w:rsidRDefault="00D579A3" w:rsidP="00D579A3">
      <w:pPr>
        <w:rPr>
          <w:rFonts w:hint="eastAsia"/>
        </w:rPr>
      </w:pPr>
      <w:r w:rsidRPr="00D579A3">
        <w:rPr>
          <w:rFonts w:hint="eastAsia"/>
        </w:rPr>
        <w:t xml:space="preserve">　　企业可以委托上海数据交易所为其开展数据资产创新应用提供相关基础服务。经数据产权人申请，上海数据交易所应当基于记录在数据交易链上的数据产品登记、交易、交付等信息，生成数据资产凭证，为数据产权人资产会计处理和资产评估提供支持。</w:t>
      </w:r>
    </w:p>
    <w:p w14:paraId="72A0ECC6" w14:textId="77777777" w:rsidR="00D579A3" w:rsidRPr="00D579A3" w:rsidRDefault="00D579A3" w:rsidP="00D579A3">
      <w:pPr>
        <w:rPr>
          <w:rFonts w:hint="eastAsia"/>
        </w:rPr>
      </w:pPr>
      <w:r w:rsidRPr="00D579A3">
        <w:rPr>
          <w:rFonts w:hint="eastAsia"/>
        </w:rPr>
        <w:t xml:space="preserve">　　第十二条 （数据国际化交易）</w:t>
      </w:r>
    </w:p>
    <w:p w14:paraId="22A85481" w14:textId="77777777" w:rsidR="00D579A3" w:rsidRPr="00D579A3" w:rsidRDefault="00D579A3" w:rsidP="00D579A3">
      <w:pPr>
        <w:rPr>
          <w:rFonts w:hint="eastAsia"/>
        </w:rPr>
      </w:pPr>
      <w:r w:rsidRPr="00D579A3">
        <w:rPr>
          <w:rFonts w:hint="eastAsia"/>
        </w:rPr>
        <w:t xml:space="preserve">　　本市支持上海数据交易所建立数据流通交易的国际板块以及相应的风险评估、合</w:t>
      </w:r>
      <w:proofErr w:type="gramStart"/>
      <w:r w:rsidRPr="00D579A3">
        <w:rPr>
          <w:rFonts w:hint="eastAsia"/>
        </w:rPr>
        <w:t>规</w:t>
      </w:r>
      <w:proofErr w:type="gramEnd"/>
      <w:r w:rsidRPr="00D579A3">
        <w:rPr>
          <w:rFonts w:hint="eastAsia"/>
        </w:rPr>
        <w:t>审查、安全保护等规则，开展数据国际化交易。</w:t>
      </w:r>
    </w:p>
    <w:p w14:paraId="2EBE93FC" w14:textId="77777777" w:rsidR="00D579A3" w:rsidRPr="00D579A3" w:rsidRDefault="00D579A3" w:rsidP="00D579A3">
      <w:pPr>
        <w:rPr>
          <w:rFonts w:hint="eastAsia"/>
        </w:rPr>
      </w:pPr>
      <w:r w:rsidRPr="00D579A3">
        <w:rPr>
          <w:rFonts w:hint="eastAsia"/>
        </w:rPr>
        <w:t xml:space="preserve">　　本市对</w:t>
      </w:r>
      <w:proofErr w:type="gramStart"/>
      <w:r w:rsidRPr="00D579A3">
        <w:rPr>
          <w:rFonts w:hint="eastAsia"/>
        </w:rPr>
        <w:t>标数字</w:t>
      </w:r>
      <w:proofErr w:type="gramEnd"/>
      <w:r w:rsidRPr="00D579A3">
        <w:rPr>
          <w:rFonts w:hint="eastAsia"/>
        </w:rPr>
        <w:t>经济高标准国际规则，指导和支持符合条件的主体参与数据领域国际标准化活动和国际</w:t>
      </w:r>
      <w:proofErr w:type="gramStart"/>
      <w:r w:rsidRPr="00D579A3">
        <w:rPr>
          <w:rFonts w:hint="eastAsia"/>
        </w:rPr>
        <w:t>数据港</w:t>
      </w:r>
      <w:proofErr w:type="gramEnd"/>
      <w:r w:rsidRPr="00D579A3">
        <w:rPr>
          <w:rFonts w:hint="eastAsia"/>
        </w:rPr>
        <w:t>建设，推进国际数据空间合作，培育国际数据经纪人和数据服务商。</w:t>
      </w:r>
    </w:p>
    <w:p w14:paraId="603FEA16" w14:textId="77777777" w:rsidR="00D579A3" w:rsidRPr="00D579A3" w:rsidRDefault="00D579A3" w:rsidP="00D579A3">
      <w:pPr>
        <w:rPr>
          <w:rFonts w:hint="eastAsia"/>
        </w:rPr>
      </w:pPr>
      <w:r w:rsidRPr="00D579A3">
        <w:rPr>
          <w:rFonts w:hint="eastAsia"/>
        </w:rPr>
        <w:t xml:space="preserve">　　第十三条 （数据知识产权保护）</w:t>
      </w:r>
    </w:p>
    <w:p w14:paraId="0F042909" w14:textId="77777777" w:rsidR="00D579A3" w:rsidRPr="00D579A3" w:rsidRDefault="00D579A3" w:rsidP="00D579A3">
      <w:pPr>
        <w:rPr>
          <w:rFonts w:hint="eastAsia"/>
        </w:rPr>
      </w:pPr>
      <w:r w:rsidRPr="00D579A3">
        <w:rPr>
          <w:rFonts w:hint="eastAsia"/>
        </w:rPr>
        <w:t xml:space="preserve">　　本市支持浦东新区开展数据知识产权登记试点工作。</w:t>
      </w:r>
    </w:p>
    <w:p w14:paraId="2DA6E5FC" w14:textId="77777777" w:rsidR="00D579A3" w:rsidRPr="00D579A3" w:rsidRDefault="00D579A3" w:rsidP="00D579A3">
      <w:pPr>
        <w:rPr>
          <w:rFonts w:hint="eastAsia"/>
        </w:rPr>
      </w:pPr>
      <w:r w:rsidRPr="00D579A3">
        <w:rPr>
          <w:rFonts w:hint="eastAsia"/>
        </w:rPr>
        <w:t xml:space="preserve">　　市和浦东新区知识产权部门应当制定数据知识产权登记审核规则，对符合条件的数据知识产权发放登记凭证。数据知识产权登记凭证应当与数据交易链联通，与数据产品登记凭证互信互认，促进数据知识产权成果有序流通。</w:t>
      </w:r>
    </w:p>
    <w:p w14:paraId="76D1B25C" w14:textId="77777777" w:rsidR="00D579A3" w:rsidRPr="00D579A3" w:rsidRDefault="00D579A3" w:rsidP="00D579A3">
      <w:pPr>
        <w:rPr>
          <w:rFonts w:hint="eastAsia"/>
        </w:rPr>
      </w:pPr>
      <w:r w:rsidRPr="00D579A3">
        <w:rPr>
          <w:rFonts w:hint="eastAsia"/>
        </w:rPr>
        <w:t xml:space="preserve">　　第十四条 （特定数据进场交易）</w:t>
      </w:r>
    </w:p>
    <w:p w14:paraId="65B46E01" w14:textId="77777777" w:rsidR="00D579A3" w:rsidRPr="00D579A3" w:rsidRDefault="00D579A3" w:rsidP="00D579A3">
      <w:pPr>
        <w:rPr>
          <w:rFonts w:hint="eastAsia"/>
        </w:rPr>
      </w:pPr>
      <w:r w:rsidRPr="00D579A3">
        <w:rPr>
          <w:rFonts w:hint="eastAsia"/>
        </w:rPr>
        <w:t xml:space="preserve">　　本市鼓励和引导各类市场主体通过上海数据交易所开展数据交易及相关活动。支持政府采购平台与上海数据交易所的交易平台实现互联互通，实现合</w:t>
      </w:r>
      <w:proofErr w:type="gramStart"/>
      <w:r w:rsidRPr="00D579A3">
        <w:rPr>
          <w:rFonts w:hint="eastAsia"/>
        </w:rPr>
        <w:t>规</w:t>
      </w:r>
      <w:proofErr w:type="gramEnd"/>
      <w:r w:rsidRPr="00D579A3">
        <w:rPr>
          <w:rFonts w:hint="eastAsia"/>
        </w:rPr>
        <w:t>数据产品目录和定价信息共享，支撑政府部门基于政府采购平台一站式</w:t>
      </w:r>
      <w:proofErr w:type="gramStart"/>
      <w:r w:rsidRPr="00D579A3">
        <w:rPr>
          <w:rFonts w:hint="eastAsia"/>
        </w:rPr>
        <w:t>采购非</w:t>
      </w:r>
      <w:proofErr w:type="gramEnd"/>
      <w:r w:rsidRPr="00D579A3">
        <w:rPr>
          <w:rFonts w:hint="eastAsia"/>
        </w:rPr>
        <w:t>公共数据产品。</w:t>
      </w:r>
    </w:p>
    <w:p w14:paraId="55ECFC7F" w14:textId="77777777" w:rsidR="00D579A3" w:rsidRPr="00D579A3" w:rsidRDefault="00D579A3" w:rsidP="00D579A3">
      <w:pPr>
        <w:rPr>
          <w:rFonts w:hint="eastAsia"/>
        </w:rPr>
      </w:pPr>
      <w:r w:rsidRPr="00D579A3">
        <w:rPr>
          <w:rFonts w:hint="eastAsia"/>
        </w:rPr>
        <w:t xml:space="preserve">　　市经济和信息化部门应当制定管理办法，会同浦东新区人民政府和相关部门加强对上海数据交易所的监管，保障交易合</w:t>
      </w:r>
      <w:proofErr w:type="gramStart"/>
      <w:r w:rsidRPr="00D579A3">
        <w:rPr>
          <w:rFonts w:hint="eastAsia"/>
        </w:rPr>
        <w:t>规</w:t>
      </w:r>
      <w:proofErr w:type="gramEnd"/>
      <w:r w:rsidRPr="00D579A3">
        <w:rPr>
          <w:rFonts w:hint="eastAsia"/>
        </w:rPr>
        <w:t>、数据安全和资金安全。</w:t>
      </w:r>
    </w:p>
    <w:p w14:paraId="7F9F6FB2" w14:textId="77777777" w:rsidR="00D579A3" w:rsidRPr="00D579A3" w:rsidRDefault="00D579A3" w:rsidP="00D579A3">
      <w:pPr>
        <w:rPr>
          <w:rFonts w:hint="eastAsia"/>
        </w:rPr>
      </w:pPr>
      <w:r w:rsidRPr="00D579A3">
        <w:rPr>
          <w:rFonts w:hint="eastAsia"/>
        </w:rPr>
        <w:t xml:space="preserve">　　第十五条 （</w:t>
      </w:r>
      <w:proofErr w:type="gramStart"/>
      <w:r w:rsidRPr="00D579A3">
        <w:rPr>
          <w:rFonts w:hint="eastAsia"/>
        </w:rPr>
        <w:t>促进数商发展</w:t>
      </w:r>
      <w:proofErr w:type="gramEnd"/>
      <w:r w:rsidRPr="00D579A3">
        <w:rPr>
          <w:rFonts w:hint="eastAsia"/>
        </w:rPr>
        <w:t>）</w:t>
      </w:r>
    </w:p>
    <w:p w14:paraId="228CFE85" w14:textId="77777777" w:rsidR="00D579A3" w:rsidRPr="00D579A3" w:rsidRDefault="00D579A3" w:rsidP="00D579A3">
      <w:pPr>
        <w:rPr>
          <w:rFonts w:hint="eastAsia"/>
        </w:rPr>
      </w:pPr>
      <w:r w:rsidRPr="00D579A3">
        <w:rPr>
          <w:rFonts w:hint="eastAsia"/>
        </w:rPr>
        <w:t xml:space="preserve">　　本市支持发展为数据交易提供数据产品开发、发布、承销和数据资产的合</w:t>
      </w:r>
      <w:proofErr w:type="gramStart"/>
      <w:r w:rsidRPr="00D579A3">
        <w:rPr>
          <w:rFonts w:hint="eastAsia"/>
        </w:rPr>
        <w:t>规化</w:t>
      </w:r>
      <w:proofErr w:type="gramEnd"/>
      <w:r w:rsidRPr="00D579A3">
        <w:rPr>
          <w:rFonts w:hint="eastAsia"/>
        </w:rPr>
        <w:t>、标准化、增值化服务的各类市场主体（以下统称数商），鼓励各种</w:t>
      </w:r>
      <w:proofErr w:type="gramStart"/>
      <w:r w:rsidRPr="00D579A3">
        <w:rPr>
          <w:rFonts w:hint="eastAsia"/>
        </w:rPr>
        <w:t>所有制数</w:t>
      </w:r>
      <w:r w:rsidRPr="00D579A3">
        <w:rPr>
          <w:rFonts w:hint="eastAsia"/>
        </w:rPr>
        <w:lastRenderedPageBreak/>
        <w:t>商公平</w:t>
      </w:r>
      <w:proofErr w:type="gramEnd"/>
      <w:r w:rsidRPr="00D579A3">
        <w:rPr>
          <w:rFonts w:hint="eastAsia"/>
        </w:rPr>
        <w:t>竞争、共同发展。</w:t>
      </w:r>
    </w:p>
    <w:p w14:paraId="160CFBBA" w14:textId="77777777" w:rsidR="00D579A3" w:rsidRPr="00D579A3" w:rsidRDefault="00D579A3" w:rsidP="00D579A3">
      <w:pPr>
        <w:rPr>
          <w:rFonts w:hint="eastAsia"/>
        </w:rPr>
      </w:pPr>
      <w:r w:rsidRPr="00D579A3">
        <w:rPr>
          <w:rFonts w:hint="eastAsia"/>
        </w:rPr>
        <w:t xml:space="preserve">　　浦东新区人民政府应当制定</w:t>
      </w:r>
      <w:proofErr w:type="gramStart"/>
      <w:r w:rsidRPr="00D579A3">
        <w:rPr>
          <w:rFonts w:hint="eastAsia"/>
        </w:rPr>
        <w:t>支持数商发展</w:t>
      </w:r>
      <w:proofErr w:type="gramEnd"/>
      <w:r w:rsidRPr="00D579A3">
        <w:rPr>
          <w:rFonts w:hint="eastAsia"/>
        </w:rPr>
        <w:t>的政策举措，建设数据要素产业空间和数商培育载体，加强对数</w:t>
      </w:r>
      <w:proofErr w:type="gramStart"/>
      <w:r w:rsidRPr="00D579A3">
        <w:rPr>
          <w:rFonts w:hint="eastAsia"/>
        </w:rPr>
        <w:t>商业务</w:t>
      </w:r>
      <w:proofErr w:type="gramEnd"/>
      <w:r w:rsidRPr="00D579A3">
        <w:rPr>
          <w:rFonts w:hint="eastAsia"/>
        </w:rPr>
        <w:t>创新、人才引进、挂牌上市等服务，培育贴近业务需求的行业性、产业化数商。</w:t>
      </w:r>
    </w:p>
    <w:p w14:paraId="0B21C605" w14:textId="77777777" w:rsidR="00D579A3" w:rsidRPr="00D579A3" w:rsidRDefault="00D579A3" w:rsidP="00D579A3">
      <w:pPr>
        <w:rPr>
          <w:rFonts w:hint="eastAsia"/>
        </w:rPr>
      </w:pPr>
      <w:r w:rsidRPr="00D579A3">
        <w:rPr>
          <w:rFonts w:hint="eastAsia"/>
        </w:rPr>
        <w:t xml:space="preserve">　　</w:t>
      </w:r>
      <w:proofErr w:type="gramStart"/>
      <w:r w:rsidRPr="00D579A3">
        <w:rPr>
          <w:rFonts w:hint="eastAsia"/>
        </w:rPr>
        <w:t>数商可以</w:t>
      </w:r>
      <w:proofErr w:type="gramEnd"/>
      <w:r w:rsidRPr="00D579A3">
        <w:rPr>
          <w:rFonts w:hint="eastAsia"/>
        </w:rPr>
        <w:t>按照约定委托上海数据交易所开展相关业务。依法应当由符合条件</w:t>
      </w:r>
      <w:proofErr w:type="gramStart"/>
      <w:r w:rsidRPr="00D579A3">
        <w:rPr>
          <w:rFonts w:hint="eastAsia"/>
        </w:rPr>
        <w:t>的数商开展</w:t>
      </w:r>
      <w:proofErr w:type="gramEnd"/>
      <w:r w:rsidRPr="00D579A3">
        <w:rPr>
          <w:rFonts w:hint="eastAsia"/>
        </w:rPr>
        <w:t>的营利性活动，上海数据交易所不得开展。</w:t>
      </w:r>
    </w:p>
    <w:p w14:paraId="29B6712E" w14:textId="77777777" w:rsidR="00D579A3" w:rsidRPr="00D579A3" w:rsidRDefault="00D579A3" w:rsidP="00D579A3">
      <w:pPr>
        <w:rPr>
          <w:rFonts w:hint="eastAsia"/>
        </w:rPr>
      </w:pPr>
      <w:r w:rsidRPr="00D579A3">
        <w:rPr>
          <w:rFonts w:hint="eastAsia"/>
        </w:rPr>
        <w:t xml:space="preserve">　　第十六条 （促进行业组织建设）</w:t>
      </w:r>
    </w:p>
    <w:p w14:paraId="5720B080" w14:textId="77777777" w:rsidR="00D579A3" w:rsidRPr="00D579A3" w:rsidRDefault="00D579A3" w:rsidP="00D579A3">
      <w:pPr>
        <w:rPr>
          <w:rFonts w:hint="eastAsia"/>
        </w:rPr>
      </w:pPr>
      <w:r w:rsidRPr="00D579A3">
        <w:rPr>
          <w:rFonts w:hint="eastAsia"/>
        </w:rPr>
        <w:t xml:space="preserve">　　本市</w:t>
      </w:r>
      <w:proofErr w:type="gramStart"/>
      <w:r w:rsidRPr="00D579A3">
        <w:rPr>
          <w:rFonts w:hint="eastAsia"/>
        </w:rPr>
        <w:t>数商领域</w:t>
      </w:r>
      <w:proofErr w:type="gramEnd"/>
      <w:r w:rsidRPr="00D579A3">
        <w:rPr>
          <w:rFonts w:hint="eastAsia"/>
        </w:rPr>
        <w:t>行业组织应当加强行业自律和业务指导，开展交流、咨询和培训等活动，</w:t>
      </w:r>
      <w:proofErr w:type="gramStart"/>
      <w:r w:rsidRPr="00D579A3">
        <w:rPr>
          <w:rFonts w:hint="eastAsia"/>
        </w:rPr>
        <w:t>提高数商等</w:t>
      </w:r>
      <w:proofErr w:type="gramEnd"/>
      <w:r w:rsidRPr="00D579A3">
        <w:rPr>
          <w:rFonts w:hint="eastAsia"/>
        </w:rPr>
        <w:t>市场主体的数据素养。</w:t>
      </w:r>
    </w:p>
    <w:p w14:paraId="1C200095" w14:textId="77777777" w:rsidR="00D579A3" w:rsidRPr="00D579A3" w:rsidRDefault="00D579A3" w:rsidP="00D579A3">
      <w:pPr>
        <w:rPr>
          <w:rFonts w:hint="eastAsia"/>
        </w:rPr>
      </w:pPr>
      <w:r w:rsidRPr="00D579A3">
        <w:rPr>
          <w:rFonts w:hint="eastAsia"/>
        </w:rPr>
        <w:t xml:space="preserve">　　市经济和信息化部门、浦东新区人民政府应当指导相关行业组织</w:t>
      </w:r>
      <w:proofErr w:type="gramStart"/>
      <w:r w:rsidRPr="00D579A3">
        <w:rPr>
          <w:rFonts w:hint="eastAsia"/>
        </w:rPr>
        <w:t>制定数商分类</w:t>
      </w:r>
      <w:proofErr w:type="gramEnd"/>
      <w:r w:rsidRPr="00D579A3">
        <w:rPr>
          <w:rFonts w:hint="eastAsia"/>
        </w:rPr>
        <w:t>分级标准，开展</w:t>
      </w:r>
      <w:proofErr w:type="gramStart"/>
      <w:r w:rsidRPr="00D579A3">
        <w:rPr>
          <w:rFonts w:hint="eastAsia"/>
        </w:rPr>
        <w:t>数商等级</w:t>
      </w:r>
      <w:proofErr w:type="gramEnd"/>
      <w:r w:rsidRPr="00D579A3">
        <w:rPr>
          <w:rFonts w:hint="eastAsia"/>
        </w:rPr>
        <w:t>评估，引导</w:t>
      </w:r>
      <w:proofErr w:type="gramStart"/>
      <w:r w:rsidRPr="00D579A3">
        <w:rPr>
          <w:rFonts w:hint="eastAsia"/>
        </w:rPr>
        <w:t>数商创新</w:t>
      </w:r>
      <w:proofErr w:type="gramEnd"/>
      <w:r w:rsidRPr="00D579A3">
        <w:rPr>
          <w:rFonts w:hint="eastAsia"/>
        </w:rPr>
        <w:t>业务模式和提升服务质量。</w:t>
      </w:r>
    </w:p>
    <w:p w14:paraId="12C3250E" w14:textId="77777777" w:rsidR="00D579A3" w:rsidRPr="00D579A3" w:rsidRDefault="00D579A3" w:rsidP="00D579A3">
      <w:pPr>
        <w:rPr>
          <w:rFonts w:hint="eastAsia"/>
        </w:rPr>
      </w:pPr>
      <w:r w:rsidRPr="00D579A3">
        <w:rPr>
          <w:rFonts w:hint="eastAsia"/>
        </w:rPr>
        <w:t xml:space="preserve">　　第十七条（打造上海数据品牌）</w:t>
      </w:r>
    </w:p>
    <w:p w14:paraId="63714427" w14:textId="77777777" w:rsidR="00D579A3" w:rsidRPr="00D579A3" w:rsidRDefault="00D579A3" w:rsidP="00D579A3">
      <w:pPr>
        <w:rPr>
          <w:rFonts w:hint="eastAsia"/>
        </w:rPr>
      </w:pPr>
      <w:r w:rsidRPr="00D579A3">
        <w:rPr>
          <w:rFonts w:hint="eastAsia"/>
        </w:rPr>
        <w:t xml:space="preserve">　　市经济和信息化、市场监管部门应当编制数据品牌建设导则和相关标准，通过政策支持、宣传引导等方式，增强市场主体的品牌运营能力。市经济和信息化部门应当指导行业组织建立数据品牌的评估、认定、推介机制，提升数据品牌的国内外影响力。市场主体经自愿申请和第三方评估机构评价，符合要求的，可以使用上海数据品牌的专门标识。</w:t>
      </w:r>
    </w:p>
    <w:p w14:paraId="0B50839B" w14:textId="77777777" w:rsidR="00D579A3" w:rsidRPr="00D579A3" w:rsidRDefault="00D579A3" w:rsidP="00D579A3">
      <w:pPr>
        <w:rPr>
          <w:rFonts w:hint="eastAsia"/>
        </w:rPr>
      </w:pPr>
      <w:r w:rsidRPr="00D579A3">
        <w:rPr>
          <w:rFonts w:hint="eastAsia"/>
        </w:rPr>
        <w:t xml:space="preserve">　　本市支持在上海数据交易所探索研制“上海数”指数并定期发布，综合反映数据要素市场的活跃度、价格水平等信息，为市场提供指引。</w:t>
      </w:r>
    </w:p>
    <w:p w14:paraId="2AD59951" w14:textId="77777777" w:rsidR="00D579A3" w:rsidRPr="00D579A3" w:rsidRDefault="00D579A3" w:rsidP="00D579A3">
      <w:pPr>
        <w:rPr>
          <w:rFonts w:hint="eastAsia"/>
        </w:rPr>
      </w:pPr>
      <w:r w:rsidRPr="00D579A3">
        <w:rPr>
          <w:rFonts w:hint="eastAsia"/>
        </w:rPr>
        <w:t xml:space="preserve">　　第十八条 （数据安全）</w:t>
      </w:r>
    </w:p>
    <w:p w14:paraId="5F678141" w14:textId="77777777" w:rsidR="00D579A3" w:rsidRPr="00D579A3" w:rsidRDefault="00D579A3" w:rsidP="00D579A3">
      <w:pPr>
        <w:rPr>
          <w:rFonts w:hint="eastAsia"/>
        </w:rPr>
      </w:pPr>
      <w:r w:rsidRPr="00D579A3">
        <w:rPr>
          <w:rFonts w:hint="eastAsia"/>
        </w:rPr>
        <w:t xml:space="preserve">　　市经济和信息化、公安、网信、市场监管等部门和浦东新区人民政府应当根据各自职责加强对数据要素市场的监管，依法打击危害国家安全和公共利益、侵害个人隐私或未经合法权利人授权同意的数据交易活动和非法产业。</w:t>
      </w:r>
    </w:p>
    <w:p w14:paraId="20D689BC" w14:textId="77777777" w:rsidR="00D579A3" w:rsidRPr="00D579A3" w:rsidRDefault="00D579A3" w:rsidP="00D579A3">
      <w:pPr>
        <w:rPr>
          <w:rFonts w:hint="eastAsia"/>
        </w:rPr>
      </w:pPr>
      <w:r w:rsidRPr="00D579A3">
        <w:rPr>
          <w:rFonts w:hint="eastAsia"/>
        </w:rPr>
        <w:t xml:space="preserve">　　上海数据交易所应当建立规范透明、安全可控、可追溯的数据交易服务环境，构建保护数据传输、存储和使用安全的基础设施，加强监测、预警、控制和应急处置能力建设，制定数据安全事件应急预案。</w:t>
      </w:r>
    </w:p>
    <w:p w14:paraId="616EB315" w14:textId="77777777" w:rsidR="00D579A3" w:rsidRPr="00D579A3" w:rsidRDefault="00D579A3" w:rsidP="00D579A3">
      <w:pPr>
        <w:rPr>
          <w:rFonts w:hint="eastAsia"/>
        </w:rPr>
      </w:pPr>
      <w:r w:rsidRPr="00D579A3">
        <w:rPr>
          <w:rFonts w:hint="eastAsia"/>
        </w:rPr>
        <w:t xml:space="preserve">　　第十九条 （争议解决机制）</w:t>
      </w:r>
    </w:p>
    <w:p w14:paraId="6ED918E6" w14:textId="77777777" w:rsidR="00D579A3" w:rsidRPr="00D579A3" w:rsidRDefault="00D579A3" w:rsidP="00D579A3">
      <w:pPr>
        <w:rPr>
          <w:rFonts w:hint="eastAsia"/>
        </w:rPr>
      </w:pPr>
      <w:r w:rsidRPr="00D579A3">
        <w:rPr>
          <w:rFonts w:hint="eastAsia"/>
        </w:rPr>
        <w:t xml:space="preserve">　　市场主体进行数据交易发生争议的，可以依法申请调解，也可以依法申请仲裁或者提起诉讼。</w:t>
      </w:r>
    </w:p>
    <w:p w14:paraId="199D1B74" w14:textId="77777777" w:rsidR="00D579A3" w:rsidRPr="00D579A3" w:rsidRDefault="00D579A3" w:rsidP="00D579A3">
      <w:pPr>
        <w:rPr>
          <w:rFonts w:hint="eastAsia"/>
        </w:rPr>
      </w:pPr>
      <w:r w:rsidRPr="00D579A3">
        <w:rPr>
          <w:rFonts w:hint="eastAsia"/>
        </w:rPr>
        <w:t xml:space="preserve">　　上海数据交易所应当建立数据交易纠纷调解机制和鉴定机制，为数据交易纠纷提供调解服务和鉴定服务；探索建立数据流通交易安全港规则和创新容错机制；支持浦东新区公证机构探索建立与数据流通交易相适应的公证机制。</w:t>
      </w:r>
    </w:p>
    <w:p w14:paraId="3B32FA32" w14:textId="77777777" w:rsidR="00D579A3" w:rsidRPr="00D579A3" w:rsidRDefault="00D579A3" w:rsidP="00D579A3">
      <w:pPr>
        <w:rPr>
          <w:rFonts w:hint="eastAsia"/>
        </w:rPr>
      </w:pPr>
      <w:r w:rsidRPr="00D579A3">
        <w:rPr>
          <w:rFonts w:hint="eastAsia"/>
        </w:rPr>
        <w:t xml:space="preserve">　　第二十条 （施行时间）</w:t>
      </w:r>
    </w:p>
    <w:p w14:paraId="2DB52DD3" w14:textId="77777777" w:rsidR="00D579A3" w:rsidRPr="00D579A3" w:rsidRDefault="00D579A3" w:rsidP="00D579A3">
      <w:r w:rsidRPr="00D579A3">
        <w:rPr>
          <w:rFonts w:hint="eastAsia"/>
        </w:rPr>
        <w:t xml:space="preserve">　　本规定自 年 月 日起施行。</w:t>
      </w:r>
    </w:p>
    <w:p w14:paraId="208EDF1C" w14:textId="77777777" w:rsidR="00D579A3" w:rsidRPr="00D579A3" w:rsidRDefault="00D579A3" w:rsidP="00D579A3"/>
    <w:p w14:paraId="0F3FB03A" w14:textId="77777777" w:rsidR="00D579A3" w:rsidRDefault="00D579A3" w:rsidP="00D579A3">
      <w:pPr>
        <w:rPr>
          <w:rFonts w:hint="eastAsia"/>
        </w:rPr>
      </w:pPr>
    </w:p>
    <w:p w14:paraId="5B731F3F" w14:textId="77777777" w:rsidR="00D579A3" w:rsidRDefault="00D579A3" w:rsidP="00D579A3">
      <w:pPr>
        <w:pStyle w:val="a3"/>
        <w:sectPr w:rsidR="00D579A3" w:rsidSect="00A070B1">
          <w:footerReference w:type="even" r:id="rId7"/>
          <w:footerReference w:type="default" r:id="rId8"/>
          <w:pgSz w:w="11906" w:h="16838"/>
          <w:pgMar w:top="1440" w:right="1800" w:bottom="1440" w:left="1800" w:header="851" w:footer="992" w:gutter="0"/>
          <w:cols w:space="425"/>
          <w:docGrid w:type="lines" w:linePitch="381"/>
        </w:sectPr>
      </w:pPr>
    </w:p>
    <w:p w14:paraId="099A6562" w14:textId="5BF3519D" w:rsidR="00D579A3" w:rsidRDefault="00D579A3" w:rsidP="00D579A3">
      <w:pPr>
        <w:pStyle w:val="a3"/>
      </w:pPr>
      <w:r w:rsidRPr="00D579A3">
        <w:rPr>
          <w:rFonts w:hint="eastAsia"/>
        </w:rPr>
        <w:lastRenderedPageBreak/>
        <w:t>关于《上海市促进浦东新区数据流通交易若干规定（草案）》征求意见有关事项的说明</w:t>
      </w:r>
    </w:p>
    <w:p w14:paraId="181BBEE5" w14:textId="77777777" w:rsidR="00D579A3" w:rsidRPr="00D579A3" w:rsidRDefault="00D579A3" w:rsidP="00D579A3">
      <w:pPr>
        <w:rPr>
          <w:rFonts w:hint="eastAsia"/>
        </w:rPr>
      </w:pPr>
    </w:p>
    <w:p w14:paraId="03302072" w14:textId="77777777" w:rsidR="00D579A3" w:rsidRPr="00D579A3" w:rsidRDefault="00D579A3" w:rsidP="00D579A3">
      <w:pPr>
        <w:rPr>
          <w:rFonts w:hint="eastAsia"/>
        </w:rPr>
      </w:pPr>
      <w:r w:rsidRPr="00D579A3">
        <w:rPr>
          <w:rFonts w:hint="eastAsia"/>
        </w:rPr>
        <w:t xml:space="preserve">　　一、起草背景</w:t>
      </w:r>
    </w:p>
    <w:p w14:paraId="68595F99" w14:textId="77777777" w:rsidR="00D579A3" w:rsidRPr="00D579A3" w:rsidRDefault="00D579A3" w:rsidP="00D579A3">
      <w:pPr>
        <w:rPr>
          <w:rFonts w:hint="eastAsia"/>
        </w:rPr>
      </w:pPr>
      <w:r w:rsidRPr="00D579A3">
        <w:rPr>
          <w:rFonts w:hint="eastAsia"/>
        </w:rPr>
        <w:t xml:space="preserve">　　数据是数字时代重要的生产要素，是实现数字经济发展和城市数字化转型的核心资源。2021年7月，《中共中央 国务院关于支持浦东新区高水平改革开放打造社会主义现代化建设引领区的意见》（以下简称《引领区意见》）明确要求浦东新区“建设国际数据港和数据交易所，推进数据权属界定、开放共享、交易流通、监督管理等标准制定和系统建设”。2022年12月，《中共中央 国务院关于构建数据基础制度更好发挥数据要素作用的意见》（以下简称《数据二十条》）明确提出“建立合</w:t>
      </w:r>
      <w:proofErr w:type="gramStart"/>
      <w:r w:rsidRPr="00D579A3">
        <w:rPr>
          <w:rFonts w:hint="eastAsia"/>
        </w:rPr>
        <w:t>规</w:t>
      </w:r>
      <w:proofErr w:type="gramEnd"/>
      <w:r w:rsidRPr="00D579A3">
        <w:rPr>
          <w:rFonts w:hint="eastAsia"/>
        </w:rPr>
        <w:t>高效、场内外结合的数据要素流通和交易制度”。按照《引领区意见》和《数据二十条》的精神，聚焦培育完善数据要素市场制定本部浦东新区法规，对于推动浦东新区乃至上海加快数据要素市场新发展、抢占数字经济发展新赛道，助力城市数字化转型，具有重要意义。</w:t>
      </w:r>
    </w:p>
    <w:p w14:paraId="47B5548A" w14:textId="77777777" w:rsidR="00D579A3" w:rsidRPr="00D579A3" w:rsidRDefault="00D579A3" w:rsidP="00D579A3">
      <w:pPr>
        <w:rPr>
          <w:rFonts w:hint="eastAsia"/>
        </w:rPr>
      </w:pPr>
      <w:r w:rsidRPr="00D579A3">
        <w:rPr>
          <w:rFonts w:hint="eastAsia"/>
        </w:rPr>
        <w:t xml:space="preserve">　　二、主要内容</w:t>
      </w:r>
    </w:p>
    <w:p w14:paraId="12790874" w14:textId="77777777" w:rsidR="00D579A3" w:rsidRPr="00D579A3" w:rsidRDefault="00D579A3" w:rsidP="00D579A3">
      <w:pPr>
        <w:rPr>
          <w:rFonts w:hint="eastAsia"/>
        </w:rPr>
      </w:pPr>
      <w:r w:rsidRPr="00D579A3">
        <w:rPr>
          <w:rFonts w:hint="eastAsia"/>
        </w:rPr>
        <w:t xml:space="preserve">　　《上海市促进浦东新区数据流通交易若干规定（草案）》的主要内容是：</w:t>
      </w:r>
    </w:p>
    <w:p w14:paraId="48460735" w14:textId="77777777" w:rsidR="00D579A3" w:rsidRPr="00D579A3" w:rsidRDefault="00D579A3" w:rsidP="00D579A3">
      <w:pPr>
        <w:rPr>
          <w:rFonts w:hint="eastAsia"/>
        </w:rPr>
      </w:pPr>
      <w:r w:rsidRPr="00D579A3">
        <w:rPr>
          <w:rFonts w:hint="eastAsia"/>
        </w:rPr>
        <w:t xml:space="preserve">　　一是界定各方责任，明确促进数据流通交易的总体要求。包括：要求发挥数据要素作用，维护数据产权人合法权益，构建数据流通交易制度体系，打造数据要素市场环境；规定市人民政府及其部门、浦东新区人民政府及其部门在推动数字经济发展、促进数据流通交易的具体职责。（草案第三条、第四条）</w:t>
      </w:r>
    </w:p>
    <w:p w14:paraId="418F5784" w14:textId="77777777" w:rsidR="00D579A3" w:rsidRPr="00D579A3" w:rsidRDefault="00D579A3" w:rsidP="00D579A3">
      <w:pPr>
        <w:rPr>
          <w:rFonts w:hint="eastAsia"/>
        </w:rPr>
      </w:pPr>
      <w:r w:rsidRPr="00D579A3">
        <w:rPr>
          <w:rFonts w:hint="eastAsia"/>
        </w:rPr>
        <w:t xml:space="preserve">　　二是结合落实《数据二十条》，探索细化数据产权分置机制。包括：明确提出依法保护数据产权人的各项数据权益，以数据价值创造和价值实现为导向，建立数据要素收益分配机制，为数据要素的生成、确权、开发和运营提供制度保障；按照《数据二十条》提出的数据产权中“数据资源持有权”、“数据加工使用权”和“数据产品经营权”三权分置的要求，进一步细化“数据三权”的内涵和要求，界定数据产权人的主体范围。（草案第五条、第六条）</w:t>
      </w:r>
    </w:p>
    <w:p w14:paraId="331D45EF" w14:textId="77777777" w:rsidR="00D579A3" w:rsidRPr="00D579A3" w:rsidRDefault="00D579A3" w:rsidP="00D579A3">
      <w:pPr>
        <w:rPr>
          <w:rFonts w:hint="eastAsia"/>
        </w:rPr>
      </w:pPr>
      <w:r w:rsidRPr="00D579A3">
        <w:rPr>
          <w:rFonts w:hint="eastAsia"/>
        </w:rPr>
        <w:t xml:space="preserve">　　三是建立数据流通交易的系列规则，进一步培育壮大场内交易，并对场外交易</w:t>
      </w:r>
      <w:proofErr w:type="gramStart"/>
      <w:r w:rsidRPr="00D579A3">
        <w:rPr>
          <w:rFonts w:hint="eastAsia"/>
        </w:rPr>
        <w:t>作出</w:t>
      </w:r>
      <w:proofErr w:type="gramEnd"/>
      <w:r w:rsidRPr="00D579A3">
        <w:rPr>
          <w:rFonts w:hint="eastAsia"/>
        </w:rPr>
        <w:t>适度规范引导。包括：培育公平、开放、有序、诚信的数据要素市场，建立健全统一登记、规范交易、灵活交付、集中清算的数据流通交易运营机制；按照国家部署定位以及</w:t>
      </w:r>
      <w:proofErr w:type="gramStart"/>
      <w:r w:rsidRPr="00D579A3">
        <w:rPr>
          <w:rFonts w:hint="eastAsia"/>
        </w:rPr>
        <w:t>市委深改委</w:t>
      </w:r>
      <w:proofErr w:type="gramEnd"/>
      <w:r w:rsidRPr="00D579A3">
        <w:rPr>
          <w:rFonts w:hint="eastAsia"/>
        </w:rPr>
        <w:t>有关要求，把推进国家级上海数据交易所建设作为本市培育数据要素市场的关键抓手，发挥其基础性公共服务和自律合</w:t>
      </w:r>
      <w:proofErr w:type="gramStart"/>
      <w:r w:rsidRPr="00D579A3">
        <w:rPr>
          <w:rFonts w:hint="eastAsia"/>
        </w:rPr>
        <w:t>规</w:t>
      </w:r>
      <w:proofErr w:type="gramEnd"/>
      <w:r w:rsidRPr="00D579A3">
        <w:rPr>
          <w:rFonts w:hint="eastAsia"/>
        </w:rPr>
        <w:t>监管功能；以上海数据交易所为载体，推动数据流通交易“一链三平台”建设，构建低成本、高效率、可信赖的数据流通环境；进一步明确可交易数据产品的要求，在此基础上推动完善数据资产化机制和数据国际化交易机制；探索开展数据知识产权登记试点，对特定数据的进场交易</w:t>
      </w:r>
      <w:proofErr w:type="gramStart"/>
      <w:r w:rsidRPr="00D579A3">
        <w:rPr>
          <w:rFonts w:hint="eastAsia"/>
        </w:rPr>
        <w:t>作出</w:t>
      </w:r>
      <w:proofErr w:type="gramEnd"/>
      <w:r w:rsidRPr="00D579A3">
        <w:rPr>
          <w:rFonts w:hint="eastAsia"/>
        </w:rPr>
        <w:t>规范等。（草案第七条至第十四条）</w:t>
      </w:r>
    </w:p>
    <w:p w14:paraId="0510B9A5" w14:textId="77777777" w:rsidR="00D579A3" w:rsidRPr="00D579A3" w:rsidRDefault="00D579A3" w:rsidP="00D579A3">
      <w:pPr>
        <w:rPr>
          <w:rFonts w:hint="eastAsia"/>
        </w:rPr>
      </w:pPr>
      <w:r w:rsidRPr="00D579A3">
        <w:rPr>
          <w:rFonts w:hint="eastAsia"/>
        </w:rPr>
        <w:t xml:space="preserve">　　四是进一步培育数据市场生态，营造良好发展环境。包括：落实“所商分离”</w:t>
      </w:r>
      <w:r w:rsidRPr="00D579A3">
        <w:rPr>
          <w:rFonts w:hint="eastAsia"/>
        </w:rPr>
        <w:lastRenderedPageBreak/>
        <w:t>原则，培育和支持各类数商发展；加强数据领域行业组织建设，加强行业自律和业务指导；推动打造上海数据品牌和“上海数”指数；强化数据安全监管和市场秩序维护，探索数据交易安全港机制，优化完善数据交易争议解决机制等。（草案第十五条至第十九条）</w:t>
      </w:r>
    </w:p>
    <w:p w14:paraId="6DAE9DEB" w14:textId="77777777" w:rsidR="00D579A3" w:rsidRPr="00D579A3" w:rsidRDefault="00D579A3" w:rsidP="00D579A3">
      <w:pPr>
        <w:rPr>
          <w:rFonts w:hint="eastAsia"/>
        </w:rPr>
      </w:pPr>
      <w:r w:rsidRPr="00D579A3">
        <w:rPr>
          <w:rFonts w:hint="eastAsia"/>
        </w:rPr>
        <w:t xml:space="preserve">　　三、征求意见的重点</w:t>
      </w:r>
    </w:p>
    <w:p w14:paraId="5EED3C4D" w14:textId="77777777" w:rsidR="00D579A3" w:rsidRPr="00D579A3" w:rsidRDefault="00D579A3" w:rsidP="00D579A3">
      <w:pPr>
        <w:rPr>
          <w:rFonts w:hint="eastAsia"/>
        </w:rPr>
      </w:pPr>
      <w:r w:rsidRPr="00D579A3">
        <w:rPr>
          <w:rFonts w:hint="eastAsia"/>
        </w:rPr>
        <w:t xml:space="preserve">　　1、如何进一步发挥数据要素作用，更好统筹高效流通、规范交易和安全保护？</w:t>
      </w:r>
    </w:p>
    <w:p w14:paraId="4E2F4098" w14:textId="77777777" w:rsidR="00D579A3" w:rsidRPr="00D579A3" w:rsidRDefault="00D579A3" w:rsidP="00D579A3">
      <w:pPr>
        <w:rPr>
          <w:rFonts w:hint="eastAsia"/>
        </w:rPr>
      </w:pPr>
      <w:r w:rsidRPr="00D579A3">
        <w:rPr>
          <w:rFonts w:hint="eastAsia"/>
        </w:rPr>
        <w:t xml:space="preserve">　　2、如何进一步培育各类数商发展，培育数据市场生态，营造良好发展环境？</w:t>
      </w:r>
    </w:p>
    <w:p w14:paraId="05CDF345" w14:textId="77777777" w:rsidR="00D579A3" w:rsidRPr="00D579A3" w:rsidRDefault="00D579A3" w:rsidP="00D579A3">
      <w:pPr>
        <w:rPr>
          <w:rFonts w:hint="eastAsia"/>
        </w:rPr>
      </w:pPr>
      <w:r w:rsidRPr="00D579A3">
        <w:rPr>
          <w:rFonts w:hint="eastAsia"/>
        </w:rPr>
        <w:t xml:space="preserve">　　3、其他意见和建议。</w:t>
      </w:r>
    </w:p>
    <w:p w14:paraId="23D376BA" w14:textId="765CAA04" w:rsidR="006F1ADD" w:rsidRPr="00E57EC6" w:rsidRDefault="00D579A3" w:rsidP="00D579A3">
      <w:pPr>
        <w:rPr>
          <w:rFonts w:hint="eastAsia"/>
        </w:rPr>
      </w:pPr>
      <w:r w:rsidRPr="00D579A3">
        <w:rPr>
          <w:rFonts w:hint="eastAsia"/>
        </w:rPr>
        <w:t> </w:t>
      </w:r>
    </w:p>
    <w:sectPr w:rsidR="006F1ADD" w:rsidRPr="00E57EC6" w:rsidSect="00A070B1">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BF07" w14:textId="77777777" w:rsidR="0034098F" w:rsidRDefault="0034098F" w:rsidP="00A070B1">
      <w:r>
        <w:separator/>
      </w:r>
    </w:p>
  </w:endnote>
  <w:endnote w:type="continuationSeparator" w:id="0">
    <w:p w14:paraId="6A958392" w14:textId="77777777" w:rsidR="0034098F" w:rsidRDefault="0034098F"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BD3C" w14:textId="77777777"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14:paraId="0E3569B6" w14:textId="77777777"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514F" w14:textId="77777777"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14:paraId="22D938BD" w14:textId="77777777"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B4BF" w14:textId="77777777" w:rsidR="0034098F" w:rsidRDefault="0034098F" w:rsidP="00A070B1">
      <w:r>
        <w:separator/>
      </w:r>
    </w:p>
  </w:footnote>
  <w:footnote w:type="continuationSeparator" w:id="0">
    <w:p w14:paraId="679B6219" w14:textId="77777777" w:rsidR="0034098F" w:rsidRDefault="0034098F" w:rsidP="00A0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3"/>
    <w:rsid w:val="00040BAE"/>
    <w:rsid w:val="00053797"/>
    <w:rsid w:val="0007204A"/>
    <w:rsid w:val="000A072A"/>
    <w:rsid w:val="000B620A"/>
    <w:rsid w:val="000C1891"/>
    <w:rsid w:val="000F6B8F"/>
    <w:rsid w:val="001051D0"/>
    <w:rsid w:val="0013434C"/>
    <w:rsid w:val="001A20FF"/>
    <w:rsid w:val="001B4BF9"/>
    <w:rsid w:val="001C5D56"/>
    <w:rsid w:val="001D31F6"/>
    <w:rsid w:val="002327C4"/>
    <w:rsid w:val="00241D66"/>
    <w:rsid w:val="0025175F"/>
    <w:rsid w:val="00256AD3"/>
    <w:rsid w:val="002E17B6"/>
    <w:rsid w:val="002E7167"/>
    <w:rsid w:val="002F6753"/>
    <w:rsid w:val="00305250"/>
    <w:rsid w:val="003118C6"/>
    <w:rsid w:val="0034098F"/>
    <w:rsid w:val="00355984"/>
    <w:rsid w:val="0037724C"/>
    <w:rsid w:val="00391B68"/>
    <w:rsid w:val="003D24DC"/>
    <w:rsid w:val="003E7F45"/>
    <w:rsid w:val="00403109"/>
    <w:rsid w:val="00420AC5"/>
    <w:rsid w:val="00471512"/>
    <w:rsid w:val="005137D6"/>
    <w:rsid w:val="00541C4F"/>
    <w:rsid w:val="005A68B3"/>
    <w:rsid w:val="005B0BA4"/>
    <w:rsid w:val="005D10CD"/>
    <w:rsid w:val="00605C87"/>
    <w:rsid w:val="00617013"/>
    <w:rsid w:val="00635A6B"/>
    <w:rsid w:val="00677381"/>
    <w:rsid w:val="00684258"/>
    <w:rsid w:val="00695C36"/>
    <w:rsid w:val="006A4720"/>
    <w:rsid w:val="006C5AE8"/>
    <w:rsid w:val="006C7020"/>
    <w:rsid w:val="006F1ADD"/>
    <w:rsid w:val="00723D26"/>
    <w:rsid w:val="00745528"/>
    <w:rsid w:val="00794CEA"/>
    <w:rsid w:val="007A2607"/>
    <w:rsid w:val="007D3245"/>
    <w:rsid w:val="007E5263"/>
    <w:rsid w:val="007F4CD0"/>
    <w:rsid w:val="00807ED8"/>
    <w:rsid w:val="00811583"/>
    <w:rsid w:val="0081698D"/>
    <w:rsid w:val="00856914"/>
    <w:rsid w:val="00886076"/>
    <w:rsid w:val="008934AA"/>
    <w:rsid w:val="008969C3"/>
    <w:rsid w:val="0098157B"/>
    <w:rsid w:val="00994F56"/>
    <w:rsid w:val="009F795F"/>
    <w:rsid w:val="00A070B1"/>
    <w:rsid w:val="00A3364D"/>
    <w:rsid w:val="00A51ABE"/>
    <w:rsid w:val="00A57239"/>
    <w:rsid w:val="00A63EB3"/>
    <w:rsid w:val="00A64224"/>
    <w:rsid w:val="00A84C4C"/>
    <w:rsid w:val="00A915B1"/>
    <w:rsid w:val="00AD257A"/>
    <w:rsid w:val="00AF4E3C"/>
    <w:rsid w:val="00B01954"/>
    <w:rsid w:val="00B44871"/>
    <w:rsid w:val="00B553E1"/>
    <w:rsid w:val="00B55A4A"/>
    <w:rsid w:val="00B76ECA"/>
    <w:rsid w:val="00B82172"/>
    <w:rsid w:val="00BC0CB7"/>
    <w:rsid w:val="00BD0C1D"/>
    <w:rsid w:val="00BE0C70"/>
    <w:rsid w:val="00C0533F"/>
    <w:rsid w:val="00CA39CB"/>
    <w:rsid w:val="00CD619B"/>
    <w:rsid w:val="00D00EDF"/>
    <w:rsid w:val="00D414EE"/>
    <w:rsid w:val="00D579A3"/>
    <w:rsid w:val="00D66A21"/>
    <w:rsid w:val="00DA6693"/>
    <w:rsid w:val="00DD0221"/>
    <w:rsid w:val="00DD75F6"/>
    <w:rsid w:val="00DE4F5E"/>
    <w:rsid w:val="00E06934"/>
    <w:rsid w:val="00E46882"/>
    <w:rsid w:val="00E475F8"/>
    <w:rsid w:val="00E52037"/>
    <w:rsid w:val="00E52FEC"/>
    <w:rsid w:val="00E57EC6"/>
    <w:rsid w:val="00ED0B29"/>
    <w:rsid w:val="00EE368F"/>
    <w:rsid w:val="00F25139"/>
    <w:rsid w:val="00F2515B"/>
    <w:rsid w:val="00F46911"/>
    <w:rsid w:val="00F9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C50"/>
  <w15:chartTrackingRefBased/>
  <w15:docId w15:val="{0BB42DCC-A147-4A11-8DAD-1900A913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E57EC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E57EC6"/>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 w:id="18354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DFFA5-30DB-4CA6-B2FF-CCBD5EF8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743</Words>
  <Characters>4239</Characters>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2023-01-28T10:55:00Z</cp:lastPrinted>
  <dcterms:created xsi:type="dcterms:W3CDTF">2023-07-27T11:33:00Z</dcterms:created>
  <dcterms:modified xsi:type="dcterms:W3CDTF">2023-07-27T11:35:00Z</dcterms:modified>
</cp:coreProperties>
</file>