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jc w:val="center"/>
        <w:rPr>
          <w:rFonts w:ascii="仿宋" w:eastAsia="仿宋" w:hAnsi="仿宋"/>
          <w:b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b/>
          <w:color w:val="000000"/>
          <w:sz w:val="40"/>
          <w:szCs w:val="21"/>
        </w:rPr>
        <w:t>促进人工智能创新发展政策措施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cs="Times New Roman"/>
          <w:color w:val="000000"/>
          <w:sz w:val="28"/>
          <w:szCs w:val="21"/>
        </w:rPr>
        <w:t> 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为全面学习贯彻党的二十大精神，全面落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实习近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平总书记关于网络强国的重要思想和数字中国建设重要指示精神，贯彻落实自治区第十三次党代会精神，加快实施数字宁夏</w:t>
      </w:r>
      <w:bookmarkStart w:id="0" w:name="_GoBack"/>
      <w:bookmarkEnd w:id="0"/>
      <w:r w:rsidRPr="002571A1">
        <w:rPr>
          <w:rFonts w:ascii="仿宋" w:eastAsia="仿宋" w:hAnsi="仿宋" w:hint="eastAsia"/>
          <w:color w:val="000000"/>
          <w:sz w:val="28"/>
          <w:szCs w:val="21"/>
        </w:rPr>
        <w:t>“1244+N”行动计划，抢抓国家实施“东数西算”工程机遇，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丰富算力基础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设施，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推进算力赋能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应用，构建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体系，加快宁夏枢纽建设，促进人工智能创新发展。结合我区实际，制定如下政策措施。</w:t>
      </w:r>
    </w:p>
    <w:p w:rsidR="002571A1" w:rsidRPr="002571A1" w:rsidRDefault="002571A1" w:rsidP="002571A1">
      <w:pPr>
        <w:pStyle w:val="2"/>
        <w:rPr>
          <w:rFonts w:ascii="仿宋" w:eastAsia="仿宋" w:hAnsi="仿宋" w:hint="eastAsia"/>
          <w:sz w:val="28"/>
          <w:szCs w:val="21"/>
        </w:rPr>
      </w:pPr>
      <w:r w:rsidRPr="002571A1">
        <w:rPr>
          <w:rFonts w:ascii="仿宋" w:eastAsia="仿宋" w:hAnsi="仿宋" w:hint="eastAsia"/>
          <w:sz w:val="28"/>
          <w:szCs w:val="21"/>
        </w:rPr>
        <w:t>一、加强</w:t>
      </w:r>
      <w:proofErr w:type="gramStart"/>
      <w:r w:rsidRPr="002571A1">
        <w:rPr>
          <w:rFonts w:ascii="仿宋" w:eastAsia="仿宋" w:hAnsi="仿宋" w:hint="eastAsia"/>
          <w:sz w:val="28"/>
          <w:szCs w:val="21"/>
        </w:rPr>
        <w:t>智算资源</w:t>
      </w:r>
      <w:proofErr w:type="gramEnd"/>
      <w:r w:rsidRPr="002571A1">
        <w:rPr>
          <w:rFonts w:ascii="仿宋" w:eastAsia="仿宋" w:hAnsi="仿宋" w:hint="eastAsia"/>
          <w:sz w:val="28"/>
          <w:szCs w:val="21"/>
        </w:rPr>
        <w:t>统筹供给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（一）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做大智算规模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。立足全区数字经济“一带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一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核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一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节点多区联动”的总体格局，基于宁夏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枢纽算力能力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，加快建设一批与制造、水利、交通、教育、文化及生物医药、新材料等领域紧密结合的超算、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智算中心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，对于当年固定资产投资达到3亿元以上的招商引资项目，一次性给予固定资产投资额1‰、单个项目最高不超过500万元的奖励。（责任单位：自治区商务厅、发展改革委、工业和信息化厅）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（二）推动数据开放。制定自治区大模型训练数据需求清单和供给目录，建立数据供需对接机制。推动公共数据、社会数据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定向有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条件向企业开放，向社会推出一批可信高质量的数据集、语料库和通用模型。探索开放一批政府应用场景，鼓励企业参与建设。（责任单位：自治区发展改革委等相关部门）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lastRenderedPageBreak/>
        <w:t>（三）做大数据供给。鼓励金融、保险、农业、交通、生活服务等具备行业大数据供给、开发、治理能力的头部企业落户宁夏，对落户我区的大数据企业，给予不超过实际投入的10%、最高200万元资金支持。（责任单位：自治区发展改革委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（四）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构建算力网络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。发挥国家新型互联网交换中心作用，加快建设跨区、跨运营商间直联网和虚拟专网，推动中卫数据中心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集群组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网互联，鼓励网络基础设施运营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商持续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优化网络架构，重点建设宁夏到京津冀、长三角、粤港澳等地的直连链路，打造高品质超低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时延算力网络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，持续降低网络使用成本。支持和鼓励建设量子网络、未来网络和卫星互联网。（责任单位：自治区发展改革委、工业和信息化厅、宁夏通信管理局，银川市、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中卫市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人民政府）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（五）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优化算力调度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。加快建设一体化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算力交易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调度平台，统筹区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内外算力调度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产业链多主体，探索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建设算力申请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、调度、保障、结算、评价等全生命周期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的算力调度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机制，建立一体化准入标准等相关规范制度和环境，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实现算力资源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的整体优化和按需调度。支持数据中心运营企业建设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算力集成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调度平台，按照纳入集成调度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的算力规模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，给予每户企业最高200万元资金奖励。（责任单位：自治区发展改革委，各市、县〔区〕人民政府、宁东管委会）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（六）支持自主可控。鼓励超算、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智算中心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采用国产自主可控的软硬件，打造全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栈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全场景自主可控、安全可靠的人工智能计算平台，提供普惠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高性能算力服务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。推动以国产化CPU、GPU等硬件，操作系统、数据库等基础软件，工业设计等应用软件为底座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的算力平台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和大</w:t>
      </w:r>
      <w:r w:rsidRPr="002571A1">
        <w:rPr>
          <w:rFonts w:ascii="仿宋" w:eastAsia="仿宋" w:hAnsi="仿宋" w:hint="eastAsia"/>
          <w:color w:val="000000"/>
          <w:sz w:val="28"/>
          <w:szCs w:val="21"/>
        </w:rPr>
        <w:lastRenderedPageBreak/>
        <w:t>模型的自主研发，对符合条件的技术攻关项目，根据相关政策给予不超过项目总研发投入30%、最高1000万元资金支持。（责任单位：自治区科技厅、发展改革委）</w:t>
      </w:r>
    </w:p>
    <w:p w:rsidR="002571A1" w:rsidRPr="002571A1" w:rsidRDefault="002571A1" w:rsidP="002571A1">
      <w:pPr>
        <w:pStyle w:val="2"/>
        <w:rPr>
          <w:rFonts w:ascii="仿宋" w:eastAsia="仿宋" w:hAnsi="仿宋" w:hint="eastAsia"/>
          <w:sz w:val="28"/>
          <w:szCs w:val="21"/>
        </w:rPr>
      </w:pPr>
      <w:r w:rsidRPr="002571A1">
        <w:rPr>
          <w:rFonts w:ascii="仿宋" w:eastAsia="仿宋" w:hAnsi="仿宋" w:hint="eastAsia"/>
          <w:sz w:val="28"/>
          <w:szCs w:val="21"/>
        </w:rPr>
        <w:t>二、培育人工智能产业生态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七）鼓励模型创新。支持落地企业开展大模型训练，围绕模型构建、训练、调优对齐、推理部署等环节，积极探索基础模型架构创新，研究大模型高效并行训练技术和认知推理、指令学习、人类意图对齐等调优方法，研发支持百亿参数模型推理的高效压缩技术和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端侧部署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技术，鼓励开源技术生态建设。对于参数量超过百亿、典型应用场景超过5个的大模型，根据相关政策给予不超过项目总研发投入30%、最高1000万元资金支持。（责任单位：自治区科技厅、发展改革委）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（八）加大平台开放。支持企业、科研院所建设开源开放、协同共享的人工智能数据归集、算法汇聚、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算力开放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及检验检测的创新服务平台，参考平台软硬件投入、人工智能企业用户数、服务成果等方面，择优给予综合贡献度较高的开放平台最高500万元资金奖励。（责任单位：自治区发展改革委、工业和信息化厅）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（九）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鼓励数智应用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。每年总计发放不超过4000万元“算力券”，降低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算力使用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门槛，用于支持高校、科研机构、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算力中介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服务机构、科技型中小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微企业和创客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等使用区内超算、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智算资源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，开展核心算法创新、模型训练研发等。（责任单位：自治区发展改革委）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lastRenderedPageBreak/>
        <w:t>（十）拓展应用领域。聚焦医疗健康、新型材料、城市治理、环境监测、能源管理等重点领域的国家级、区域级重大示范项目、典型行业应用，鼓励使用宁夏超算、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智算资源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。积极争取国家重大科技基础设施、重点实验室、工程研究中心等创新平台落地宁夏，给予不超过落地项目投入的30%、最高1000万元的资金奖励。（责任单位：自治区发展改革委、科技厅）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一）推动场景开放。采用揭榜挂帅等形式支持企业布局人工智能产业链，加强垂直领域攻关，实现重点场景应用突破，支持企业、科研院所在智慧城市、智慧医疗、智慧教育、智慧水利、智慧农业、智能制造、电商零售、社会治理等行业打造人工智能创新应用场景，对于形成解决方案和商用案例的，优先评定为示范应用场景，并给予最高100万元的一次性资金奖励。（责任单位：自治区发展改革委、工业和信息化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二）强化产业培引。支持人工智能创新应用先导区、人工智能产业基地、科技企业孵化器、“飞地园区”等产业载体建设，加速孵化招引一批人工智能初创企业，重点培育一批“专精特新”和行业“链主”企业。经认定的“链主”企业，给予每家一次性500万元资金奖励。自治区“链主”企业、行业领先示范企业、“专精特新”小巨人企业等优质企业为世界企业500强、国家级“链主”企业、中国企业500强、制造业企业500强和民营企业500强等配套的，按照申报期上一年度配套产品、服务实际履约金额的5%，给予最高200万元资金奖励。对相关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智算产业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基地、“飞地园区”，按照自治区相关</w:t>
      </w:r>
      <w:r w:rsidRPr="002571A1">
        <w:rPr>
          <w:rFonts w:ascii="仿宋" w:eastAsia="仿宋" w:hAnsi="仿宋" w:hint="eastAsia"/>
          <w:color w:val="000000"/>
          <w:sz w:val="28"/>
          <w:szCs w:val="21"/>
        </w:rPr>
        <w:lastRenderedPageBreak/>
        <w:t>政策给予最高500万元资金奖励。（责任单位：自治区工业和信息化厅、发展改革委、科技厅）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（十三）发展高端制造。积极引进国内服务器制造龙头企业，发挥其在供应链的优势，整合数字产业生态资源，重点推动服务器制造、基础芯片的产学研及配套产业建设，吸引更多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算力设施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企业加入，培育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算力设施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规模化、集群化，带动建立服务器及其核心部件的制造链，打造本地化产业生态。支持服务器制造产业集群和“延链补链强链”重点项目建设，给予不超过项目投资额的10%、最高500万元资金奖励。（责任单位：自治区发展改革委）</w:t>
      </w:r>
    </w:p>
    <w:p w:rsidR="002571A1" w:rsidRPr="002571A1" w:rsidRDefault="002571A1" w:rsidP="002571A1">
      <w:pPr>
        <w:pStyle w:val="2"/>
        <w:rPr>
          <w:rFonts w:ascii="仿宋" w:eastAsia="仿宋" w:hAnsi="仿宋" w:hint="eastAsia"/>
          <w:sz w:val="28"/>
          <w:szCs w:val="21"/>
        </w:rPr>
      </w:pPr>
      <w:r w:rsidRPr="002571A1">
        <w:rPr>
          <w:rFonts w:ascii="仿宋" w:eastAsia="仿宋" w:hAnsi="仿宋" w:hint="eastAsia"/>
          <w:sz w:val="28"/>
          <w:szCs w:val="21"/>
        </w:rPr>
        <w:t>三、完善要素资源保障机制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四）加强安全监管。建立健全公开透明的人工智能监管体系，依法依规、包容审慎开展监管，围绕网络安全、数据安全、科技伦理、就业促进等领域建立风险防范和应对机制，防范和打击违法行为，引导人工智能相关企业和组织健康发展。强化人工智能产品和系统的网络安全防护，建设安全可信和创新发展并重的宁夏枢纽。（责任单位：自治区发展改革委、公安厅、宁夏通信管理局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（十五）加强招才引智。落实好自治区人才政策，突出需求导向，加大对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人才和团队招引力度。实施高层次人才柔性引进行动，通过挂职兼职、项目合作、联合攻关、委托研发和特聘专家等方式，定向精准引进一批学术技术水平高、我区急需紧缺的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高层次人才。开展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领军人才及团队培养专项行动，利用5年时间培</w:t>
      </w:r>
      <w:r w:rsidRPr="002571A1">
        <w:rPr>
          <w:rFonts w:ascii="仿宋" w:eastAsia="仿宋" w:hAnsi="仿宋" w:hint="eastAsia"/>
          <w:color w:val="000000"/>
          <w:sz w:val="28"/>
          <w:szCs w:val="21"/>
        </w:rPr>
        <w:lastRenderedPageBreak/>
        <w:t>养（引进）不少于100个领军人才和团队。（责任单位：自治区发展改革委、工业和信息化厅、人力资源社会保障厅、科技厅）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（十六）推动产教融合。鼓励高校、科研机构、企业等科研主体开展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算力相关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的研究性教育，深化与国内先进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研究机构的交流与合作，加快建设教学实践和培训基地，加强基地补贴，促进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算力产业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人才水平持续提升。（责任单位：自治区教育厅、科技厅、人力资源社会保障厅、发展改革委、工业和信息化厅）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七）强化要素保障。积极利用国家开发性、政策性金融机构资金和自治区财政相关专项资金，支持超算、智算、人工智能等领域关键技术攻关、应用示范和平台建设。组建规模不低于100亿元的数字经济产业基金。鼓励社会资本投入超算、智算、人工智能等相关产业，在基金投入、债券发行、股权融资等方面为产业发展提供资本支持。引导金融机构在银行信贷等方面为产业发展提供资金支持。利用宁夏新能源优势，为区内的超算、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智算中心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提供优质绿色电力保障。（责任单位：自治区财政厅、国资委，金融监管总局宁夏局，自治区地方金融监管局、发展改革委）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（十八）抓好组织实施。各市、县（区）及有关单位要高度重视，建立健全统筹协调和工作推进机制。发挥好自治区数字宁夏专家咨询委员会作用，加强前瞻性、战略性问题研究，专家咨询委员会负责相关的调查研究、决策咨询以及政策建言等工作。有关牵头单位要结合实际，抓好落实，细化举措，确保完成各项目标任务。</w:t>
      </w:r>
      <w:r w:rsidRPr="002571A1">
        <w:rPr>
          <w:rFonts w:ascii="仿宋" w:eastAsia="仿宋" w:hAnsi="仿宋" w:cs="Times New Roman"/>
          <w:color w:val="000000"/>
          <w:sz w:val="28"/>
          <w:szCs w:val="21"/>
        </w:rPr>
        <w:t>(</w:t>
      </w:r>
      <w:r w:rsidRPr="002571A1">
        <w:rPr>
          <w:rFonts w:ascii="仿宋" w:eastAsia="仿宋" w:hAnsi="仿宋" w:cs="Times New Roman" w:hint="eastAsia"/>
          <w:color w:val="000000"/>
          <w:sz w:val="28"/>
          <w:szCs w:val="21"/>
        </w:rPr>
        <w:t>责任单位</w:t>
      </w:r>
      <w:r w:rsidRPr="002571A1">
        <w:rPr>
          <w:rFonts w:ascii="仿宋" w:eastAsia="仿宋" w:hAnsi="仿宋" w:cs="Times New Roman"/>
          <w:color w:val="000000"/>
          <w:sz w:val="28"/>
          <w:szCs w:val="21"/>
        </w:rPr>
        <w:t>:</w:t>
      </w:r>
      <w:r w:rsidRPr="002571A1">
        <w:rPr>
          <w:rFonts w:ascii="仿宋" w:eastAsia="仿宋" w:hAnsi="仿宋" w:hint="eastAsia"/>
          <w:color w:val="000000"/>
          <w:sz w:val="28"/>
          <w:szCs w:val="21"/>
        </w:rPr>
        <w:t>自治区发展改革委、教育厅、科技厅、工业和信息化厅、公安厅、财政</w:t>
      </w:r>
      <w:r w:rsidRPr="002571A1">
        <w:rPr>
          <w:rFonts w:ascii="仿宋" w:eastAsia="仿宋" w:hAnsi="仿宋" w:hint="eastAsia"/>
          <w:color w:val="000000"/>
          <w:sz w:val="28"/>
          <w:szCs w:val="21"/>
        </w:rPr>
        <w:lastRenderedPageBreak/>
        <w:t>厅、商务厅、人力资源社会保障厅、国资委、地方金融监管局，金融监管总局宁夏局，</w:t>
      </w:r>
      <w:r w:rsidRPr="002571A1">
        <w:rPr>
          <w:rFonts w:ascii="仿宋" w:eastAsia="仿宋" w:hAnsi="仿宋" w:cs="Times New Roman" w:hint="eastAsia"/>
          <w:color w:val="000000"/>
          <w:sz w:val="28"/>
          <w:szCs w:val="21"/>
        </w:rPr>
        <w:t>宁夏通信管理局，各市、县〔区〕人民政府、宁东管委会</w:t>
      </w:r>
      <w:r w:rsidRPr="002571A1">
        <w:rPr>
          <w:rFonts w:ascii="仿宋" w:eastAsia="仿宋" w:hAnsi="仿宋" w:cs="Times New Roman"/>
          <w:color w:val="000000"/>
          <w:sz w:val="28"/>
          <w:szCs w:val="21"/>
        </w:rPr>
        <w:t>)</w:t>
      </w:r>
    </w:p>
    <w:p w:rsidR="002571A1" w:rsidRPr="002571A1" w:rsidRDefault="002571A1" w:rsidP="002571A1">
      <w:pPr>
        <w:pStyle w:val="a3"/>
        <w:spacing w:before="0" w:beforeAutospacing="0" w:after="0" w:afterAutospacing="0" w:line="420" w:lineRule="atLeast"/>
        <w:ind w:firstLine="645"/>
        <w:jc w:val="both"/>
        <w:rPr>
          <w:rFonts w:ascii="仿宋" w:eastAsia="仿宋" w:hAnsi="仿宋" w:hint="eastAsia"/>
          <w:color w:val="000000"/>
          <w:sz w:val="28"/>
          <w:szCs w:val="21"/>
        </w:rPr>
      </w:pPr>
      <w:r w:rsidRPr="002571A1">
        <w:rPr>
          <w:rFonts w:ascii="仿宋" w:eastAsia="仿宋" w:hAnsi="仿宋" w:hint="eastAsia"/>
          <w:color w:val="000000"/>
          <w:sz w:val="28"/>
          <w:szCs w:val="21"/>
        </w:rPr>
        <w:t>本政策措施自2023年9月15日起施行，有效期至2025年12月31日，政策到期后将根据执行情况对有关内容进一步优化完善。政策执行期间，如</w:t>
      </w:r>
      <w:proofErr w:type="gramStart"/>
      <w:r w:rsidRPr="002571A1">
        <w:rPr>
          <w:rFonts w:ascii="仿宋" w:eastAsia="仿宋" w:hAnsi="仿宋" w:hint="eastAsia"/>
          <w:color w:val="000000"/>
          <w:sz w:val="28"/>
          <w:szCs w:val="21"/>
        </w:rPr>
        <w:t>遇法律</w:t>
      </w:r>
      <w:proofErr w:type="gramEnd"/>
      <w:r w:rsidRPr="002571A1">
        <w:rPr>
          <w:rFonts w:ascii="仿宋" w:eastAsia="仿宋" w:hAnsi="仿宋" w:hint="eastAsia"/>
          <w:color w:val="000000"/>
          <w:sz w:val="28"/>
          <w:szCs w:val="21"/>
        </w:rPr>
        <w:t>法规和重大政策变化，以法律法规和上级政策规定为准。</w:t>
      </w:r>
    </w:p>
    <w:p w:rsidR="00105AE5" w:rsidRPr="002571A1" w:rsidRDefault="00105AE5">
      <w:pPr>
        <w:rPr>
          <w:rFonts w:ascii="仿宋" w:eastAsia="仿宋" w:hAnsi="仿宋"/>
          <w:sz w:val="28"/>
          <w:szCs w:val="21"/>
        </w:rPr>
      </w:pPr>
    </w:p>
    <w:sectPr w:rsidR="00105AE5" w:rsidRPr="0025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FB"/>
    <w:rsid w:val="00105AE5"/>
    <w:rsid w:val="002571A1"/>
    <w:rsid w:val="009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D9CE"/>
  <w15:chartTrackingRefBased/>
  <w15:docId w15:val="{7CB22653-822E-4CFC-8F9B-7FCA5B7F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571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2571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2</cp:revision>
  <dcterms:created xsi:type="dcterms:W3CDTF">2023-08-22T15:25:00Z</dcterms:created>
  <dcterms:modified xsi:type="dcterms:W3CDTF">2023-08-22T15:27:00Z</dcterms:modified>
</cp:coreProperties>
</file>