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B9C8" w14:textId="77777777" w:rsidR="009969B9" w:rsidRPr="009969B9" w:rsidRDefault="009969B9" w:rsidP="009969B9">
      <w:pPr>
        <w:pStyle w:val="a3"/>
      </w:pPr>
      <w:r w:rsidRPr="009969B9">
        <w:rPr>
          <w:rFonts w:hint="eastAsia"/>
        </w:rPr>
        <w:t>青岛市数据要素市场化配置改革三年行动方案</w:t>
      </w:r>
    </w:p>
    <w:p w14:paraId="3F6FED0C" w14:textId="77777777" w:rsidR="009969B9" w:rsidRPr="009969B9" w:rsidRDefault="009969B9" w:rsidP="009969B9">
      <w:pPr>
        <w:ind w:firstLineChars="200" w:firstLine="480"/>
      </w:pPr>
      <w:r w:rsidRPr="009969B9">
        <w:t> </w:t>
      </w:r>
    </w:p>
    <w:p w14:paraId="43E5B276" w14:textId="77777777" w:rsidR="009969B9" w:rsidRPr="009969B9" w:rsidRDefault="009969B9" w:rsidP="009969B9">
      <w:pPr>
        <w:ind w:firstLineChars="200" w:firstLine="480"/>
      </w:pPr>
      <w:r w:rsidRPr="009969B9">
        <w:t>为贯彻落实国家和省关于数据要素改革的部署要求，加快建设具有全国影响力的数据要素流通中心、应用场景引领中心、产业赋能创新中心，打造国内城市数据要素市场化配置改革样板，以“数据要素×”驱动数字经济高质量发展</w:t>
      </w:r>
      <w:r w:rsidRPr="009969B9">
        <w:rPr>
          <w:rFonts w:hint="eastAsia"/>
        </w:rPr>
        <w:t>、赋能实体经济，制定本行动方案。</w:t>
      </w:r>
    </w:p>
    <w:p w14:paraId="5DFC2F2F" w14:textId="77777777" w:rsidR="009969B9" w:rsidRPr="009969B9" w:rsidRDefault="009969B9" w:rsidP="009969B9">
      <w:pPr>
        <w:pStyle w:val="1"/>
        <w:ind w:firstLine="482"/>
      </w:pPr>
      <w:r w:rsidRPr="009969B9">
        <w:rPr>
          <w:rFonts w:hint="eastAsia"/>
        </w:rPr>
        <w:t>一、工作目标</w:t>
      </w:r>
    </w:p>
    <w:p w14:paraId="2EAB0181" w14:textId="77777777" w:rsidR="009969B9" w:rsidRPr="009969B9" w:rsidRDefault="009969B9" w:rsidP="009969B9">
      <w:pPr>
        <w:ind w:firstLineChars="200" w:firstLine="480"/>
      </w:pPr>
      <w:r w:rsidRPr="009969B9">
        <w:t>到2026年，构建完备的数据要素市场发展体制机制，数据基础制度更加健全，数据基础设施更加完善，数据要素供给更加丰富，数据流通市场活跃有序，数据开发利用富有成效，数据相关产业蓬勃发展，数据要素乘数效应凸显。挂牌交易数据产品不少于1000个，打造数据开发利用成果不少于1000项，引进培育数据商和第三</w:t>
      </w:r>
      <w:proofErr w:type="gramStart"/>
      <w:r w:rsidRPr="009969B9">
        <w:t>方专业</w:t>
      </w:r>
      <w:proofErr w:type="gramEnd"/>
      <w:r w:rsidRPr="009969B9">
        <w:t>服务机构不少于500家，全市数据要素市场规模达到1000亿元以上。</w:t>
      </w:r>
    </w:p>
    <w:p w14:paraId="71658D20" w14:textId="77777777" w:rsidR="009969B9" w:rsidRPr="009969B9" w:rsidRDefault="009969B9" w:rsidP="009969B9">
      <w:pPr>
        <w:pStyle w:val="1"/>
        <w:ind w:firstLine="482"/>
      </w:pPr>
      <w:r w:rsidRPr="009969B9">
        <w:rPr>
          <w:rFonts w:hint="eastAsia"/>
        </w:rPr>
        <w:t>二、主要任务</w:t>
      </w:r>
    </w:p>
    <w:p w14:paraId="5FE3E79B" w14:textId="77777777" w:rsidR="009969B9" w:rsidRPr="009969B9" w:rsidRDefault="009969B9" w:rsidP="009969B9">
      <w:pPr>
        <w:ind w:firstLineChars="200" w:firstLine="480"/>
      </w:pPr>
      <w:r w:rsidRPr="009969B9">
        <w:t>（一）全面推进数据资源化</w:t>
      </w:r>
    </w:p>
    <w:p w14:paraId="4538FD33" w14:textId="77777777" w:rsidR="009969B9" w:rsidRPr="009969B9" w:rsidRDefault="009969B9" w:rsidP="009969B9">
      <w:pPr>
        <w:ind w:firstLineChars="200" w:firstLine="480"/>
      </w:pPr>
      <w:r w:rsidRPr="009969B9">
        <w:t>1.夯实数据基础设施。提升全市一体化大数据平台、公共数据运营平台服务能级，打造公共数据赋能大模型训练基地，</w:t>
      </w:r>
      <w:proofErr w:type="gramStart"/>
      <w:r w:rsidRPr="009969B9">
        <w:t>构建超算</w:t>
      </w:r>
      <w:proofErr w:type="gramEnd"/>
      <w:r w:rsidRPr="009969B9">
        <w:t>、智算、通用计算和边缘计算多元协同的</w:t>
      </w:r>
      <w:proofErr w:type="gramStart"/>
      <w:r w:rsidRPr="009969B9">
        <w:t>算力基础</w:t>
      </w:r>
      <w:proofErr w:type="gramEnd"/>
      <w:r w:rsidRPr="009969B9">
        <w:t>设施集群。到2025年，建设完善的网络、算力、流通和安全等数据基础设施，一体化支撑数据汇聚、处理、流通、应用、运营、安全保障全流程。</w:t>
      </w:r>
    </w:p>
    <w:p w14:paraId="365669D7" w14:textId="77777777" w:rsidR="009969B9" w:rsidRPr="009969B9" w:rsidRDefault="009969B9" w:rsidP="009969B9">
      <w:pPr>
        <w:ind w:firstLineChars="200" w:firstLine="480"/>
      </w:pPr>
      <w:r w:rsidRPr="009969B9">
        <w:t>2.强化数据集中汇聚。全量编制数据资源目录，推动供水、供气、供热、公共交通、基层社会治理等全市公共数据全量汇聚，实现社会数据按需汇聚。支持工业互联网平台、产业大脑建设，促进行业数据规范汇聚。</w:t>
      </w:r>
    </w:p>
    <w:p w14:paraId="2C272E8E" w14:textId="77777777" w:rsidR="009969B9" w:rsidRPr="009969B9" w:rsidRDefault="009969B9" w:rsidP="009969B9">
      <w:pPr>
        <w:ind w:firstLineChars="200" w:firstLine="480"/>
      </w:pPr>
      <w:r w:rsidRPr="009969B9">
        <w:t>3.加强数据采集治理。建立公共数据分类分级、多方治理和质量反馈机制，发布一批高质量数据共享和开放清单。深化重点产业和企业数字化</w:t>
      </w:r>
      <w:proofErr w:type="gramStart"/>
      <w:r w:rsidRPr="009969B9">
        <w:t>转型专项</w:t>
      </w:r>
      <w:proofErr w:type="gramEnd"/>
      <w:r w:rsidRPr="009969B9">
        <w:t>行动，提升企业数据采集和治理能力。</w:t>
      </w:r>
    </w:p>
    <w:p w14:paraId="7631C211" w14:textId="77777777" w:rsidR="009969B9" w:rsidRPr="009969B9" w:rsidRDefault="009969B9" w:rsidP="009969B9">
      <w:pPr>
        <w:ind w:firstLineChars="200" w:firstLine="480"/>
      </w:pPr>
      <w:r w:rsidRPr="009969B9">
        <w:t>（二）有序推进数据资产化</w:t>
      </w:r>
    </w:p>
    <w:p w14:paraId="6DEF0720" w14:textId="77777777" w:rsidR="009969B9" w:rsidRPr="009969B9" w:rsidRDefault="009969B9" w:rsidP="009969B9">
      <w:pPr>
        <w:ind w:firstLineChars="200" w:firstLine="480"/>
      </w:pPr>
      <w:r w:rsidRPr="009969B9">
        <w:t>4.推进企业数据资产入表。推动《企业数据资源相关会计处理暂行规定》落地实践，探索数据资产化和会计处理的实施路径。</w:t>
      </w:r>
    </w:p>
    <w:p w14:paraId="05F147B2" w14:textId="77777777" w:rsidR="009969B9" w:rsidRPr="009969B9" w:rsidRDefault="009969B9" w:rsidP="009969B9">
      <w:pPr>
        <w:ind w:firstLineChars="200" w:firstLine="480"/>
      </w:pPr>
      <w:r w:rsidRPr="009969B9">
        <w:t>5.加快数据资产登记评估。鼓励开展数据资产登记评估，深化跨地域数据资产登记互联、互通、互认。率先在市直企业开展数据资产登记试点，开展行政事业单位数据资产管理试点。推进“数据资产价值与收益分配评价模型”标准落地应用，培育数据资产评估机构和人才。</w:t>
      </w:r>
    </w:p>
    <w:p w14:paraId="14582EE4" w14:textId="77777777" w:rsidR="009969B9" w:rsidRPr="009969B9" w:rsidRDefault="009969B9" w:rsidP="009969B9">
      <w:pPr>
        <w:ind w:firstLineChars="200" w:firstLine="480"/>
      </w:pPr>
      <w:r w:rsidRPr="009969B9">
        <w:t>6.引导数据资产应用。支持企业创新开展数据资产作价入股、质押融资、数据信托和数据保险等业务，以股权化、证券化、产权化等多种方式运营数据资产，推动数据资产保值增值。</w:t>
      </w:r>
    </w:p>
    <w:p w14:paraId="160B8F49" w14:textId="77777777" w:rsidR="009969B9" w:rsidRPr="009969B9" w:rsidRDefault="009969B9" w:rsidP="009969B9">
      <w:pPr>
        <w:ind w:firstLineChars="200" w:firstLine="480"/>
      </w:pPr>
      <w:r w:rsidRPr="009969B9">
        <w:t>7.开展数据要素理论研究。推动数据要素机制创新和政策突破，积极培育新的经济增长点。开展数据资产定价研究。探索将国有企业数据开发利用纳入国有资产保值增值激励机制。</w:t>
      </w:r>
    </w:p>
    <w:p w14:paraId="5484AEAC" w14:textId="77777777" w:rsidR="009969B9" w:rsidRPr="009969B9" w:rsidRDefault="009969B9" w:rsidP="009969B9">
      <w:pPr>
        <w:ind w:firstLineChars="200" w:firstLine="480"/>
      </w:pPr>
      <w:r w:rsidRPr="009969B9">
        <w:t>（三）创新推进数据产业化</w:t>
      </w:r>
    </w:p>
    <w:p w14:paraId="012DDD72" w14:textId="77777777" w:rsidR="009969B9" w:rsidRPr="009969B9" w:rsidRDefault="009969B9" w:rsidP="009969B9">
      <w:pPr>
        <w:ind w:firstLineChars="200" w:firstLine="480"/>
      </w:pPr>
      <w:r w:rsidRPr="009969B9">
        <w:t>8.培育创新链。引导鼓励企业和科研机构加快推进数据关键技术创新，开展</w:t>
      </w:r>
      <w:r w:rsidRPr="009969B9">
        <w:lastRenderedPageBreak/>
        <w:t>数据标注、清洗、脱敏、分析挖掘、流通交易、安全与隐私保护、可信数据空间、大模型等核心技术攻关，推进数据技术应用。鼓励部门和基层加强行业创新和区域创新，健全“政产学研金服用”工作联动创新机制，推动创新成果落地。</w:t>
      </w:r>
    </w:p>
    <w:p w14:paraId="5795138A" w14:textId="77777777" w:rsidR="009969B9" w:rsidRPr="009969B9" w:rsidRDefault="009969B9" w:rsidP="009969B9">
      <w:pPr>
        <w:ind w:firstLineChars="200" w:firstLine="480"/>
      </w:pPr>
      <w:r w:rsidRPr="009969B9">
        <w:t>9.激活资金链。设立数据要素产业园发展基金，通过论坛展会、赛事活动、现场路演等多种活动提供投资机会，吸引天使投资人、投资机构、公私</w:t>
      </w:r>
      <w:proofErr w:type="gramStart"/>
      <w:r w:rsidRPr="009969B9">
        <w:t>募</w:t>
      </w:r>
      <w:proofErr w:type="gramEnd"/>
      <w:r w:rsidRPr="009969B9">
        <w:t>基金参与数据创业创新孵化与科技成果转化。引导鼓励工业互联网和融资服务等平台，通过数据资产增信融资等方式，解决企业融资难题。</w:t>
      </w:r>
    </w:p>
    <w:p w14:paraId="0D1B66A9" w14:textId="77777777" w:rsidR="009969B9" w:rsidRPr="009969B9" w:rsidRDefault="009969B9" w:rsidP="009969B9">
      <w:pPr>
        <w:ind w:firstLineChars="200" w:firstLine="480"/>
      </w:pPr>
      <w:r w:rsidRPr="009969B9">
        <w:t>10.构建产业链。做大做</w:t>
      </w:r>
      <w:proofErr w:type="gramStart"/>
      <w:r w:rsidRPr="009969B9">
        <w:t>强数据</w:t>
      </w:r>
      <w:proofErr w:type="gramEnd"/>
      <w:r w:rsidRPr="009969B9">
        <w:t>要素产业园，推动数据要素资源和政策集聚，实现数据资产合</w:t>
      </w:r>
      <w:proofErr w:type="gramStart"/>
      <w:r w:rsidRPr="009969B9">
        <w:t>规</w:t>
      </w:r>
      <w:proofErr w:type="gramEnd"/>
      <w:r w:rsidRPr="009969B9">
        <w:t>、登记、评价、评估、披露、入股、融资全链条产业集群发展，打造数据要素产业示范标杆。培育一批服务型、应用型、技术型数据要素型企业，加大龙头数据</w:t>
      </w:r>
      <w:proofErr w:type="gramStart"/>
      <w:r w:rsidRPr="009969B9">
        <w:t>商引育</w:t>
      </w:r>
      <w:proofErr w:type="gramEnd"/>
      <w:r w:rsidRPr="009969B9">
        <w:t>力度，大力发展数据集成、数据经纪、合</w:t>
      </w:r>
      <w:proofErr w:type="gramStart"/>
      <w:r w:rsidRPr="009969B9">
        <w:t>规</w:t>
      </w:r>
      <w:proofErr w:type="gramEnd"/>
      <w:r w:rsidRPr="009969B9">
        <w:t>认证、安全审计、数据公证、数据保险、数据托管、资产评估、争议仲裁、风险评估、人才培训等第三</w:t>
      </w:r>
      <w:proofErr w:type="gramStart"/>
      <w:r w:rsidRPr="009969B9">
        <w:t>方专业</w:t>
      </w:r>
      <w:proofErr w:type="gramEnd"/>
      <w:r w:rsidRPr="009969B9">
        <w:t>服务机构。遴选和宣传推广一批优秀数据要素型示范企业和创新案例。</w:t>
      </w:r>
    </w:p>
    <w:p w14:paraId="6F3E11F2" w14:textId="77777777" w:rsidR="009969B9" w:rsidRPr="009969B9" w:rsidRDefault="009969B9" w:rsidP="009969B9">
      <w:pPr>
        <w:pStyle w:val="1"/>
        <w:ind w:firstLine="482"/>
      </w:pPr>
      <w:r w:rsidRPr="009969B9">
        <w:rPr>
          <w:rFonts w:hint="eastAsia"/>
        </w:rPr>
        <w:t>三、专项行动</w:t>
      </w:r>
    </w:p>
    <w:p w14:paraId="3B4365BA" w14:textId="77777777" w:rsidR="009969B9" w:rsidRPr="009969B9" w:rsidRDefault="009969B9" w:rsidP="009969B9">
      <w:pPr>
        <w:ind w:firstLineChars="200" w:firstLine="480"/>
      </w:pPr>
      <w:r w:rsidRPr="009969B9">
        <w:t>开展具有较高青岛辨识度的专项行动，充分发挥数据要素对资本、技术等生产要素的“乘数效应”，提高各类要素协同效率，催生新产业、新业态、新模式。</w:t>
      </w:r>
    </w:p>
    <w:p w14:paraId="23A2714E" w14:textId="77777777" w:rsidR="009969B9" w:rsidRPr="009969B9" w:rsidRDefault="009969B9" w:rsidP="009969B9">
      <w:pPr>
        <w:ind w:firstLineChars="200" w:firstLine="480"/>
      </w:pPr>
      <w:r w:rsidRPr="009969B9">
        <w:t>11.数据基础制度建设行动。推动数据立法。积极推进数据资产评估制度建设，完善数据资产评估工作机制。围绕数据治理、质量评价、数据共享、数据开放、交易流通、数据安全、行业应用等方面，推进各行业数据标准规范建设。研究制定数据要素市场发展专项支持政策。建立完善数据要素市场规则体系。到2026年，按照“谁投入、谁贡献、谁受益”原则，构建成本分摊、利润分成、股权参股、知识产权共享等多元化利益分配机制。</w:t>
      </w:r>
    </w:p>
    <w:p w14:paraId="29E183EC" w14:textId="77777777" w:rsidR="009969B9" w:rsidRPr="009969B9" w:rsidRDefault="009969B9" w:rsidP="009969B9">
      <w:pPr>
        <w:ind w:firstLineChars="200" w:firstLine="480"/>
      </w:pPr>
      <w:r w:rsidRPr="009969B9">
        <w:t>12.数据开发利用创新行动。完善公共数据常态化供需对接、数据返还和定期“晾晒”机制，持续推动公共数据直达基层，实现公共数据高效共享和高质量开放。深化“以公共数据运营撬动数据要素市场”发展模式，聚焦产业发展、城市治理和民生服务等领域拓展应用场景，打造特色数据产品。围绕24条重点产业链，开展数据赋能“一链</w:t>
      </w:r>
      <w:proofErr w:type="gramStart"/>
      <w:r w:rsidRPr="009969B9">
        <w:t>一</w:t>
      </w:r>
      <w:proofErr w:type="gramEnd"/>
      <w:r w:rsidRPr="009969B9">
        <w:t>平台”建设试点。持续深化“工业赋能”场景和“未来城市”场景开放，鼓励市场力量参与数据价值挖掘。聚焦农业农村、工业制造、交通出行、影视文化、健康医疗、养老救助、海洋等领域，加快打造一批数据开发利用示范场景。</w:t>
      </w:r>
    </w:p>
    <w:p w14:paraId="4B8EAC42" w14:textId="77777777" w:rsidR="009969B9" w:rsidRPr="009969B9" w:rsidRDefault="009969B9" w:rsidP="009969B9">
      <w:pPr>
        <w:ind w:firstLineChars="200" w:firstLine="480"/>
      </w:pPr>
      <w:r w:rsidRPr="009969B9">
        <w:t>13.数据流通交易增效行动。高水平一体化打造青岛大数据交易中心、海洋数据交易平台，提供规范的数据产品登记、交易磋商、合</w:t>
      </w:r>
      <w:proofErr w:type="gramStart"/>
      <w:r w:rsidRPr="009969B9">
        <w:t>规</w:t>
      </w:r>
      <w:proofErr w:type="gramEnd"/>
      <w:r w:rsidRPr="009969B9">
        <w:t>审查等服务。支持建立数据托管机制，通过市场机制实现社会数据参与收益分配，提高市场主体参与数据流通应用的积极性。鼓励企业、科研机构、社会组织等市场主体通过产业大脑、数据托管等方式，运营和开放自有数据。针对跨境电商、服务外包、跨境支付等典型应用场景，探索安全规范的数据跨境流动方式。</w:t>
      </w:r>
    </w:p>
    <w:p w14:paraId="3B732A4E" w14:textId="77777777" w:rsidR="009969B9" w:rsidRPr="009969B9" w:rsidRDefault="009969B9" w:rsidP="009969B9">
      <w:pPr>
        <w:ind w:firstLineChars="200" w:firstLine="480"/>
      </w:pPr>
      <w:r w:rsidRPr="009969B9">
        <w:t>14.数据合</w:t>
      </w:r>
      <w:proofErr w:type="gramStart"/>
      <w:r w:rsidRPr="009969B9">
        <w:t>规</w:t>
      </w:r>
      <w:proofErr w:type="gramEnd"/>
      <w:r w:rsidRPr="009969B9">
        <w:t>安全护航行动。健全数据安全管理机制，开展数据分类分级管理，加强对重要数据和核心数据保护。</w:t>
      </w:r>
      <w:proofErr w:type="gramStart"/>
      <w:r w:rsidRPr="009969B9">
        <w:t>构建云网数</w:t>
      </w:r>
      <w:proofErr w:type="gramEnd"/>
      <w:r w:rsidRPr="009969B9">
        <w:t>一体化协同安全保障体系，加强可信身份认证、隐私计算、数据溯源追踪等技术应用，强化数据安全监测。加强个人信息和隐私保护相关法律法规的普及宣传、安全教育和技能培训，提高全民个人信息和隐私保护意识。加大对侵犯个人信息和隐私等违法犯罪行为的打击力度。建立数据合</w:t>
      </w:r>
      <w:proofErr w:type="gramStart"/>
      <w:r w:rsidRPr="009969B9">
        <w:t>规</w:t>
      </w:r>
      <w:proofErr w:type="gramEnd"/>
      <w:r w:rsidRPr="009969B9">
        <w:t>法律服务工作指引，支持企业建立首席数据合</w:t>
      </w:r>
      <w:proofErr w:type="gramStart"/>
      <w:r w:rsidRPr="009969B9">
        <w:t>规</w:t>
      </w:r>
      <w:proofErr w:type="gramEnd"/>
      <w:r w:rsidRPr="009969B9">
        <w:t>官，加强数据合</w:t>
      </w:r>
      <w:proofErr w:type="gramStart"/>
      <w:r w:rsidRPr="009969B9">
        <w:t>规</w:t>
      </w:r>
      <w:proofErr w:type="gramEnd"/>
      <w:r w:rsidRPr="009969B9">
        <w:t>管理。</w:t>
      </w:r>
    </w:p>
    <w:p w14:paraId="4C2AD35E" w14:textId="77777777" w:rsidR="009969B9" w:rsidRPr="009969B9" w:rsidRDefault="009969B9" w:rsidP="009969B9">
      <w:pPr>
        <w:ind w:firstLineChars="200" w:firstLine="480"/>
      </w:pPr>
      <w:r w:rsidRPr="009969B9">
        <w:t>15.数据要素素养提升行动。持续举办“青数营”“青夜谈”等特色活动，围绕公共数据运营、数据资产化等主题，开展全国性交流合作。</w:t>
      </w:r>
      <w:proofErr w:type="gramStart"/>
      <w:r w:rsidRPr="009969B9">
        <w:t>依托驻</w:t>
      </w:r>
      <w:proofErr w:type="gramEnd"/>
      <w:r w:rsidRPr="009969B9">
        <w:t>青高校和科研院所，打造数据要素人才培训和集聚高地。深化政务数据首席代表制度，在全市推广首席数据官制度。建设政校企一体、产学研协同的数据要素实验、实训、实习基地，推动企业、行业协会、社会团体等分层次、分类别开展培训，打造专业人才队伍。通过媒体宣传、体验中心、论坛展会、赛事活动、专业培训等多种方式，加强数据知识普及，宣传数据创新应用典型成果，提升全民数据要素认知水平。</w:t>
      </w:r>
    </w:p>
    <w:p w14:paraId="21FB9F9B" w14:textId="77777777" w:rsidR="009969B9" w:rsidRPr="009969B9" w:rsidRDefault="009969B9" w:rsidP="009969B9">
      <w:pPr>
        <w:pStyle w:val="1"/>
        <w:ind w:firstLine="482"/>
      </w:pPr>
      <w:r w:rsidRPr="009969B9">
        <w:rPr>
          <w:rFonts w:hint="eastAsia"/>
        </w:rPr>
        <w:t>四、保障措施</w:t>
      </w:r>
    </w:p>
    <w:p w14:paraId="4D26CAB6" w14:textId="77777777" w:rsidR="009969B9" w:rsidRPr="009969B9" w:rsidRDefault="009969B9" w:rsidP="009969B9">
      <w:pPr>
        <w:ind w:firstLineChars="200" w:firstLine="480"/>
      </w:pPr>
      <w:r w:rsidRPr="009969B9">
        <w:t>（一）强化统筹协调</w:t>
      </w:r>
    </w:p>
    <w:p w14:paraId="643B73F1" w14:textId="77777777" w:rsidR="009969B9" w:rsidRPr="009969B9" w:rsidRDefault="009969B9" w:rsidP="009969B9">
      <w:pPr>
        <w:ind w:firstLineChars="200" w:firstLine="480"/>
      </w:pPr>
      <w:r w:rsidRPr="009969B9">
        <w:t>建立完善数据要素市场化配置改革工作机制，统筹推进数据要素市场发展举措落地，协调解决重点难点问题。组织各级各部门建立工作台账，明确目标、细化措施、压实责任，确保各项任务落实到位。</w:t>
      </w:r>
    </w:p>
    <w:p w14:paraId="57DBDDDC" w14:textId="77777777" w:rsidR="009969B9" w:rsidRPr="009969B9" w:rsidRDefault="009969B9" w:rsidP="009969B9">
      <w:pPr>
        <w:ind w:firstLineChars="200" w:firstLine="480"/>
      </w:pPr>
      <w:r w:rsidRPr="009969B9">
        <w:t>（二）加强市场监管</w:t>
      </w:r>
    </w:p>
    <w:p w14:paraId="28DB1DAF" w14:textId="77777777" w:rsidR="009969B9" w:rsidRPr="009969B9" w:rsidRDefault="009969B9" w:rsidP="009969B9">
      <w:pPr>
        <w:ind w:firstLineChars="200" w:firstLine="480"/>
      </w:pPr>
      <w:r w:rsidRPr="009969B9">
        <w:t>建立数据要素市场联管联治监管机制，审慎对待原始数据的流转交易行为。建立健全鼓励创新、包容创新的容错纠错机制。建立数据要素市场信用体系，逐步完善数据交易失信行为认定、守信激励、失信惩戒、信用修复、异议处理等机制。加强数据要素市场监管执法，实施算法监管，推动算法审计，打击数据垄断、数据滥用、数据欺诈、数据不正当竞争等行为。建立数据交易仲裁机制，畅通举报投诉和争议仲裁渠道，培育公平、开放、有序、诚信的数据要素市场。</w:t>
      </w:r>
    </w:p>
    <w:p w14:paraId="790E9777" w14:textId="77777777" w:rsidR="009969B9" w:rsidRPr="009969B9" w:rsidRDefault="009969B9" w:rsidP="009969B9">
      <w:pPr>
        <w:ind w:firstLineChars="200" w:firstLine="480"/>
      </w:pPr>
      <w:r w:rsidRPr="009969B9">
        <w:t>（三）开展评估推广</w:t>
      </w:r>
    </w:p>
    <w:p w14:paraId="54AFF6E0" w14:textId="216D4E30" w:rsidR="00892C52" w:rsidRPr="00892C52" w:rsidRDefault="009969B9" w:rsidP="009969B9">
      <w:pPr>
        <w:ind w:firstLineChars="200" w:firstLine="480"/>
        <w:rPr>
          <w:rFonts w:hint="eastAsia"/>
        </w:rPr>
      </w:pPr>
      <w:r w:rsidRPr="009969B9">
        <w:t>建立监测、督办和评估机制，加强日常督促指导和跟踪分析，定期开展工作进展情况评估。及时总结数据要素市场化配置改革经验，宣传推广一批经验做法和典型案例。</w:t>
      </w:r>
    </w:p>
    <w:sectPr w:rsidR="00892C52" w:rsidRPr="00892C52" w:rsidSect="00035BB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46E4" w14:textId="77777777" w:rsidR="008F662F" w:rsidRDefault="008F662F" w:rsidP="00035BB5">
      <w:r>
        <w:separator/>
      </w:r>
    </w:p>
  </w:endnote>
  <w:endnote w:type="continuationSeparator" w:id="0">
    <w:p w14:paraId="14DD647A" w14:textId="77777777" w:rsidR="008F662F" w:rsidRDefault="008F662F" w:rsidP="0003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330B" w14:textId="77777777" w:rsidR="00035BB5" w:rsidRPr="00035BB5" w:rsidRDefault="00035BB5">
    <w:pPr>
      <w:pStyle w:val="a9"/>
      <w:rPr>
        <w:sz w:val="22"/>
        <w:szCs w:val="22"/>
      </w:rPr>
    </w:pPr>
    <w:r w:rsidRPr="00035BB5">
      <w:rPr>
        <w:sz w:val="22"/>
        <w:szCs w:val="22"/>
      </w:rPr>
      <w:t>-</w:t>
    </w:r>
    <w:r w:rsidRPr="00035BB5">
      <w:rPr>
        <w:sz w:val="22"/>
        <w:szCs w:val="22"/>
      </w:rPr>
      <w:fldChar w:fldCharType="begin"/>
    </w:r>
    <w:r w:rsidRPr="00035BB5">
      <w:rPr>
        <w:sz w:val="22"/>
        <w:szCs w:val="22"/>
      </w:rPr>
      <w:instrText>PAGE   \* MERGEFORMAT</w:instrText>
    </w:r>
    <w:r w:rsidRPr="00035BB5">
      <w:rPr>
        <w:sz w:val="22"/>
        <w:szCs w:val="22"/>
      </w:rPr>
      <w:fldChar w:fldCharType="separate"/>
    </w:r>
    <w:r w:rsidRPr="00035BB5">
      <w:rPr>
        <w:sz w:val="22"/>
        <w:szCs w:val="22"/>
        <w:lang w:val="zh-CN"/>
      </w:rPr>
      <w:t>1</w:t>
    </w:r>
    <w:r w:rsidRPr="00035BB5">
      <w:rPr>
        <w:sz w:val="22"/>
        <w:szCs w:val="22"/>
      </w:rPr>
      <w:fldChar w:fldCharType="end"/>
    </w:r>
    <w:r w:rsidRPr="00035BB5">
      <w:rPr>
        <w:sz w:val="22"/>
        <w:szCs w:val="22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A165" w14:textId="77777777" w:rsidR="00035BB5" w:rsidRPr="00035BB5" w:rsidRDefault="00035BB5" w:rsidP="00035BB5">
    <w:pPr>
      <w:pStyle w:val="a9"/>
      <w:jc w:val="right"/>
      <w:rPr>
        <w:sz w:val="22"/>
        <w:szCs w:val="22"/>
      </w:rPr>
    </w:pPr>
    <w:r w:rsidRPr="00035BB5">
      <w:rPr>
        <w:sz w:val="22"/>
        <w:szCs w:val="22"/>
      </w:rPr>
      <w:t>-</w:t>
    </w:r>
    <w:r w:rsidRPr="00035BB5">
      <w:rPr>
        <w:sz w:val="22"/>
        <w:szCs w:val="22"/>
      </w:rPr>
      <w:fldChar w:fldCharType="begin"/>
    </w:r>
    <w:r w:rsidRPr="00035BB5">
      <w:rPr>
        <w:sz w:val="22"/>
        <w:szCs w:val="22"/>
      </w:rPr>
      <w:instrText>PAGE   \* MERGEFORMAT</w:instrText>
    </w:r>
    <w:r w:rsidRPr="00035BB5">
      <w:rPr>
        <w:sz w:val="22"/>
        <w:szCs w:val="22"/>
      </w:rPr>
      <w:fldChar w:fldCharType="separate"/>
    </w:r>
    <w:r w:rsidRPr="00035BB5">
      <w:rPr>
        <w:sz w:val="22"/>
        <w:szCs w:val="22"/>
        <w:lang w:val="zh-CN"/>
      </w:rPr>
      <w:t>1</w:t>
    </w:r>
    <w:r w:rsidRPr="00035BB5">
      <w:rPr>
        <w:sz w:val="22"/>
        <w:szCs w:val="22"/>
      </w:rPr>
      <w:fldChar w:fldCharType="end"/>
    </w:r>
    <w:r w:rsidRPr="00035BB5">
      <w:rPr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1118" w14:textId="77777777" w:rsidR="008F662F" w:rsidRDefault="008F662F" w:rsidP="00035BB5">
      <w:r>
        <w:separator/>
      </w:r>
    </w:p>
  </w:footnote>
  <w:footnote w:type="continuationSeparator" w:id="0">
    <w:p w14:paraId="1AADB4EA" w14:textId="77777777" w:rsidR="008F662F" w:rsidRDefault="008F662F" w:rsidP="00035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B9"/>
    <w:rsid w:val="00035BB5"/>
    <w:rsid w:val="000422F9"/>
    <w:rsid w:val="00105E4F"/>
    <w:rsid w:val="001725F1"/>
    <w:rsid w:val="00240E4B"/>
    <w:rsid w:val="0042043F"/>
    <w:rsid w:val="005A5D2B"/>
    <w:rsid w:val="006017E6"/>
    <w:rsid w:val="006D18CD"/>
    <w:rsid w:val="00892C52"/>
    <w:rsid w:val="008F662F"/>
    <w:rsid w:val="009969B9"/>
    <w:rsid w:val="00AA1694"/>
    <w:rsid w:val="00B76B36"/>
    <w:rsid w:val="00E52ECF"/>
    <w:rsid w:val="00F0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7AD5"/>
  <w15:chartTrackingRefBased/>
  <w15:docId w15:val="{FE6A9C74-CB6F-45B3-A563-55B15E93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E6"/>
    <w:pPr>
      <w:widowControl w:val="0"/>
      <w:jc w:val="both"/>
    </w:pPr>
    <w:rPr>
      <w:rFonts w:ascii="宋体"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6017E6"/>
    <w:pPr>
      <w:keepNext/>
      <w:keepLines/>
      <w:ind w:firstLineChars="200" w:firstLine="200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017E6"/>
    <w:pPr>
      <w:keepNext/>
      <w:keepLines/>
      <w:ind w:firstLineChars="200" w:firstLine="200"/>
      <w:outlineLvl w:val="1"/>
    </w:pPr>
    <w:rPr>
      <w:rFonts w:ascii="楷体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17E6"/>
    <w:pPr>
      <w:keepNext/>
      <w:keepLines/>
      <w:ind w:firstLineChars="200" w:firstLine="200"/>
      <w:outlineLvl w:val="2"/>
    </w:pPr>
    <w:rPr>
      <w:rFonts w:ascii="楷体" w:eastAsia="楷体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017E6"/>
    <w:pPr>
      <w:keepNext/>
      <w:keepLines/>
      <w:ind w:firstLineChars="200" w:firstLine="200"/>
      <w:outlineLvl w:val="3"/>
    </w:pPr>
    <w:rPr>
      <w:rFonts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017E6"/>
    <w:pPr>
      <w:keepNext/>
      <w:keepLines/>
      <w:ind w:firstLineChars="200" w:firstLine="200"/>
      <w:outlineLvl w:val="4"/>
    </w:pPr>
    <w:rPr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017E6"/>
    <w:pPr>
      <w:jc w:val="center"/>
      <w:outlineLvl w:val="0"/>
    </w:pPr>
    <w:rPr>
      <w:rFonts w:hAnsiTheme="majorHAnsi" w:cstheme="majorBidi"/>
      <w:b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6017E6"/>
    <w:rPr>
      <w:rFonts w:ascii="宋体" w:eastAsia="宋体" w:hAnsiTheme="majorHAnsi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6017E6"/>
    <w:rPr>
      <w:rFonts w:ascii="宋体" w:eastAsia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6017E6"/>
    <w:rPr>
      <w:rFonts w:ascii="楷体" w:eastAsia="楷体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6017E6"/>
    <w:rPr>
      <w:rFonts w:ascii="楷体" w:eastAsia="楷体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6017E6"/>
    <w:rPr>
      <w:rFonts w:ascii="宋体" w:eastAsia="宋体" w:hAnsiTheme="majorHAnsi" w:cstheme="majorBidi"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6017E6"/>
    <w:rPr>
      <w:rFonts w:ascii="宋体" w:eastAsia="宋体"/>
      <w:bCs/>
      <w:sz w:val="24"/>
      <w:szCs w:val="28"/>
    </w:rPr>
  </w:style>
  <w:style w:type="paragraph" w:styleId="a5">
    <w:name w:val="Subtitle"/>
    <w:basedOn w:val="a"/>
    <w:next w:val="a"/>
    <w:link w:val="a6"/>
    <w:uiPriority w:val="11"/>
    <w:qFormat/>
    <w:rsid w:val="00892C52"/>
    <w:pPr>
      <w:jc w:val="center"/>
      <w:outlineLvl w:val="1"/>
    </w:pPr>
    <w:rPr>
      <w:rFonts w:asciiTheme="minorEastAsia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892C52"/>
    <w:rPr>
      <w:rFonts w:asciiTheme="minorEastAsia" w:eastAsia="宋体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35B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35BB5"/>
    <w:rPr>
      <w:rFonts w:ascii="宋体" w:eastAsia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35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35BB5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2665</Characters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2023-12-08T02:00:00Z</dcterms:created>
  <dcterms:modified xsi:type="dcterms:W3CDTF">2023-12-08T02:01:00Z</dcterms:modified>
</cp:coreProperties>
</file>