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1C5" w:rsidRDefault="00B421C5" w:rsidP="00B421C5">
      <w:pPr>
        <w:jc w:val="center"/>
        <w:rPr>
          <w:b/>
          <w:color w:val="333333"/>
          <w:sz w:val="24"/>
          <w:szCs w:val="18"/>
          <w:shd w:val="clear" w:color="auto" w:fill="FFFFFF"/>
        </w:rPr>
      </w:pPr>
      <w:r w:rsidRPr="00B421C5">
        <w:rPr>
          <w:rFonts w:hint="eastAsia"/>
          <w:b/>
          <w:color w:val="333333"/>
          <w:sz w:val="28"/>
          <w:szCs w:val="18"/>
          <w:shd w:val="clear" w:color="auto" w:fill="FFFFFF"/>
        </w:rPr>
        <w:t>江西省制造业数字化转型行动计划</w:t>
      </w:r>
      <w:r w:rsidRPr="00B421C5">
        <w:rPr>
          <w:rFonts w:hint="eastAsia"/>
          <w:b/>
          <w:color w:val="333333"/>
          <w:sz w:val="24"/>
          <w:szCs w:val="18"/>
          <w:shd w:val="clear" w:color="auto" w:fill="FFFFFF"/>
        </w:rPr>
        <w:t xml:space="preserve">　</w:t>
      </w:r>
    </w:p>
    <w:p w:rsidR="00B421C5" w:rsidRDefault="00B421C5" w:rsidP="00B421C5">
      <w:pPr>
        <w:jc w:val="center"/>
        <w:rPr>
          <w:color w:val="333333"/>
          <w:sz w:val="18"/>
          <w:szCs w:val="18"/>
          <w:shd w:val="clear" w:color="auto" w:fill="FFFFFF"/>
        </w:rPr>
      </w:pPr>
      <w:r w:rsidRPr="00B421C5">
        <w:rPr>
          <w:rFonts w:hint="eastAsia"/>
          <w:b/>
          <w:color w:val="333333"/>
          <w:sz w:val="24"/>
          <w:szCs w:val="18"/>
          <w:shd w:val="clear" w:color="auto" w:fill="FFFFFF"/>
        </w:rPr>
        <w:t>(2024—2025年)</w:t>
      </w:r>
      <w:r>
        <w:rPr>
          <w:rFonts w:hint="eastAsia"/>
          <w:color w:val="333333"/>
          <w:sz w:val="18"/>
          <w:szCs w:val="18"/>
        </w:rPr>
        <w:br/>
      </w:r>
    </w:p>
    <w:p w:rsidR="00724042" w:rsidRDefault="00B421C5"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为深入贯彻落实党中央、国务院关于推进新型工业化和发展数字经济的决策部署，根据省委、省政府有关会议精神和《江西省制造业重点产业链现代化建设“1269”行动计划(2023—2026年)》《江西省制造业数字化转型实施方案》等文件要求，为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加快数智化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建设，全方位纵深推进制造业数字化转型，助力全省制造业高质量发展，特制定本行动计划。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一、总体要求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（一）指导思想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以习近平新时代中国特色社会主义思想为指导，全面贯彻党的二十大、二十届二中全会和中央经济工作会议精神，深入贯彻习近平总书记考察江西重要讲话精神，认真落实省委十五届四次、五次全会部署要求，聚焦“走在前、勇争先、善作为”目标要求，以新一代信息技术与制造业深度融合发展为路径，以智能制造为牵引，以工业互联网创新发展为抓手，打造一批数字化转型标杆，推动重点行业数字化转型，加快中小企业数字化转型步伐，助力制造业强省建设，努力构建体现江西特色和优势的现代化产业体系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（二）主要目标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按照“普查、分类诊断、出具方案、改造实施”路径，解决企业不会转、不敢转、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不想转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等问题，全面推进制造业数字化转型。力争用2年左右时间，培育打造数字化转型标杆企业2000家，推进数字化改造企业10000家以上，实现重点产业集群工业互联网赋能全覆盖、重点行业“产业大脑”全覆盖、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规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上工业企业“智改数转网联”全覆盖，全省制造业数字化水平明显提升。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二、重点任务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（一）实施“数智化工厂”改造示范引领行动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1.强化龙头企业引领带动。支持龙头企业和“链主”企业对标国家级“数字领航”企业标准，率先开展集成应用创新，建设工业互联网平台，牵头或参与制定制造业数字化转型国家、行业和团体标准，面向行业开放先进技术、应用场景，形成引领产业数字化转型的标杆示范，建设“数智工厂”500家以上，打造“数字领航”企业20家左右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2.打造中小企业数字化转型“小灯塔”。以“专精特新”中小企业为重点加快打造“小灯塔”企业，制定“小灯塔”企业建设指南，分行业分场景打造400家左右“小灯塔”企业，引领中小企业“看样学样”。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3.培育制造业“智改数转网联”示范标杆。深入推进新一代信息技术与制造业融合发展，推动5G、工业互联网、人工智能等数字技术在企业的深度应用，建设智能制造单元、智能产业、智能车间(数字车间)，引导企业综合集成应用数字化装备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和云化软件产品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等，分行业分类型培育一批5G工厂、“5G+工业互联网”、两化融合、智能制造等数字化转型标杆，培育省级智能工厂、数字车间2000个以上，数字化转型标杆企业</w:t>
      </w:r>
      <w:r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2000家以上、国家级标杆示范100家左右。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（二）实施产业链数字化能力提升行动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4.加快推进“产业大脑”建设。在产业集聚优势明显、产业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智库健全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、运营模式明晰和产业发展路径明确的区域，运用“揭榜挂帅”等方式建成30个左右“产业大脑”，建设行业工业互联网、产学研融通等协作性平台，通过打造产业侧、政府侧、企业侧等系列智能化应用，提升“产业大脑”智能决策与服务产业链的能力，推动产业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链关键企业数智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化改造，带动上下游整体推进数字化转型。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5.深化产业链上下游协作。支持“链主”企业、龙头企业等建设行业型工业互联网平台，并通过业务剥离、合资合作等方式成立平台运营新主体，向产业链上下游企业输出数字化转型解决方案。建立“链主”企业与上下游企业对接机制，每年开展10场左右“链主”企业与中小企业数字化转型供需对接专场活动，推动中小企业广泛实施数字化转型，促进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产业链大中小企业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融通发展。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6.分类实施“一链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一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场景”。对电子信息、有色、装备制造等上下游依存度高的产业，按照“一链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一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策、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一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一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策”，选取“链主”企业和“关键节点”企业为突破口，以拉动上下游企业数字化转型和企业数字工厂建设双轮驱动，推进“链式”数字化转型。对纺织服装、医药、现代家具等离散型生产及产业链依存度较低的产业，以提升单体企业数字化程度为重点，推动机器换人、设备换芯和生产换线，打造数字化产线、数字化车间和智能工厂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（三）实施产业集群数字化转型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扩面行动</w:t>
      </w:r>
      <w:proofErr w:type="gramEnd"/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7.开展产业集群数字化转型试点。按照标准宣贯、优选服务商、需求对接、实施改造、标杆打造、效果验证、成效推广的试点模式，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面向县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(市、区)和开发区分三批开展数字化转型试点，在全省60%左右的县(市、区)开展产业集群数字化转型试点。加强各地数字化转型工作交流，定期组织现场观摩和“走进典型”活动，形成一批可复制、可推广的典型经验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8.大力推动“平台+园区”建设。面向市、县(区)和开发区开展产业数字化转型先行区建设，积极创建国家级“5G+工业互联网”先导区。实施产业集群整体数字化改造，推进以“工业互联网平台+园区”为核心架构的数字化转型，探索发展跨越物理边界的“虚拟”产业园区和产业集群，大力发展中央工厂、协同制造、共享制造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众包众创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、集采集销等新模式，建设一批功能完备的工业互联网园区。建成工业互联网园区标杆30个左右、省级以上开发区全部实现数字化管理。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9.完善数字化转型支撑体系。聚焦重点行业领域，遴选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一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批转型需求迫切、示范带动作用突出的企业，常态化推进数字化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转型入企诊断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工作，对8000家左右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规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上企业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开展入企深度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问诊。常态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化开展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制造业数字化综合发展水平评价，大力推动企业开展数字化转型、两化融合管理体系、数据管理能力成熟度、智能制造成熟度和中小企业数字化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水平等贯标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(评测)，建立完善的市场化采信机制。加快构建“数字化转型促进中心、数字化诊所、数字专员”三级服务体系，分类建立数字化转型服务商资源池，常态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化保持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1000人以上的数字专员队伍，培育数字化转型促进中心30家左右、数字化诊所100家左右，遴选数字化服务商300家左右，形成面向制造业数字化转型服务的产业和技术支撑能力。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三、保障机制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（一）强化组织领导。省直有关部门要把深入推进制造业数字化转型作为推进“1269”行动计划的重要抓</w:t>
      </w:r>
      <w:r>
        <w:rPr>
          <w:rFonts w:hint="eastAsia"/>
          <w:color w:val="333333"/>
          <w:sz w:val="18"/>
          <w:szCs w:val="18"/>
          <w:shd w:val="clear" w:color="auto" w:fill="FFFFFF"/>
        </w:rPr>
        <w:lastRenderedPageBreak/>
        <w:t>手，高度重视数字化转型工作。各地要统筹推进制造业数字化转型工作，结合实际制定工作计划，建立数字化改造项目库，建立数字化转型标杆、数字化标准对标、数字化诊断企业和数字化服务商等数字化转型清单，定期调度项目和清单完成情况。开展数字化转型工作监测评价，定期对工作落实情况进行跟踪评估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（二）强化政策支持。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统筹省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工业发展专项资金，设立制造业数字化转型重点板块，同时积极争取国家资金和金融支持，加大对制造业数字化转型重点场景、重大平台、重大项目及标杆示范的支持力度。加大制造业的信贷投放力度，支持制造业数字化、智能化改造。各地要结合产业特点和实际需求，科学制定制造业数字化转型各项政策，形成省、市、区县梯度政策体系。加强人才培养，鼓励大中专院校开设制造业数字化转型相关特色课程、开展实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训活动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等，培育一批既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懂数字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技术又</w:t>
      </w:r>
      <w:proofErr w:type="gramStart"/>
      <w:r>
        <w:rPr>
          <w:rFonts w:hint="eastAsia"/>
          <w:color w:val="333333"/>
          <w:sz w:val="18"/>
          <w:szCs w:val="18"/>
          <w:shd w:val="clear" w:color="auto" w:fill="FFFFFF"/>
        </w:rPr>
        <w:t>懂工业</w:t>
      </w:r>
      <w:proofErr w:type="gramEnd"/>
      <w:r>
        <w:rPr>
          <w:rFonts w:hint="eastAsia"/>
          <w:color w:val="333333"/>
          <w:sz w:val="18"/>
          <w:szCs w:val="18"/>
          <w:shd w:val="clear" w:color="auto" w:fill="FFFFFF"/>
        </w:rPr>
        <w:t>生产的专业人才。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> </w:t>
      </w:r>
      <w:r>
        <w:rPr>
          <w:rFonts w:hint="eastAsia"/>
          <w:color w:val="333333"/>
          <w:sz w:val="18"/>
          <w:szCs w:val="18"/>
        </w:rPr>
        <w:br/>
      </w:r>
      <w:r>
        <w:rPr>
          <w:rFonts w:hint="eastAsia"/>
          <w:color w:val="333333"/>
          <w:sz w:val="18"/>
          <w:szCs w:val="18"/>
          <w:shd w:val="clear" w:color="auto" w:fill="FFFFFF"/>
        </w:rPr>
        <w:t xml:space="preserve">　　（三）强化示范推广。推动数字化转型服务平台等公共服务平台建设，加强数字化转型经验模式总结和宣传推广，打造一批数字化转型典型场景，培育一批数字化转型标杆企业，举办各类观</w:t>
      </w:r>
      <w:r w:rsidR="00BC26A1">
        <w:rPr>
          <w:rFonts w:hint="eastAsia"/>
          <w:color w:val="333333"/>
          <w:sz w:val="18"/>
          <w:szCs w:val="18"/>
        </w:rPr>
        <w:t>。</w:t>
      </w:r>
      <w:bookmarkStart w:id="0" w:name="_GoBack"/>
      <w:bookmarkEnd w:id="0"/>
    </w:p>
    <w:sectPr w:rsidR="007240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A2"/>
    <w:rsid w:val="00724042"/>
    <w:rsid w:val="007F5459"/>
    <w:rsid w:val="00B421C5"/>
    <w:rsid w:val="00BC26A1"/>
    <w:rsid w:val="00C666BD"/>
    <w:rsid w:val="00D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0B21B"/>
  <w15:chartTrackingRefBased/>
  <w15:docId w15:val="{6F21F113-07AE-4105-BF6C-E54584E14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444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zengdi ma</dc:creator>
  <cp:keywords/>
  <dc:description/>
  <cp:lastModifiedBy>zengdi ma</cp:lastModifiedBy>
  <cp:revision>3</cp:revision>
  <dcterms:created xsi:type="dcterms:W3CDTF">2024-03-20T05:29:00Z</dcterms:created>
  <dcterms:modified xsi:type="dcterms:W3CDTF">2024-03-20T05:31:00Z</dcterms:modified>
</cp:coreProperties>
</file>