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Style w:val="a8"/>
          <w:rFonts w:ascii="Arial" w:hAnsi="Arial" w:cs="Arial"/>
          <w:color w:val="333333"/>
        </w:rPr>
        <w:t>贵州省人民代表大会常务委员会</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Style w:val="a8"/>
          <w:rFonts w:ascii="Arial" w:hAnsi="Arial" w:cs="Arial"/>
          <w:color w:val="333333"/>
        </w:rPr>
        <w:t>公</w:t>
      </w:r>
      <w:r>
        <w:rPr>
          <w:rStyle w:val="a8"/>
          <w:rFonts w:ascii="Arial" w:hAnsi="Arial" w:cs="Arial"/>
          <w:color w:val="333333"/>
        </w:rPr>
        <w:t> </w:t>
      </w:r>
      <w:r>
        <w:rPr>
          <w:rStyle w:val="a8"/>
          <w:rFonts w:ascii="Arial" w:hAnsi="Arial" w:cs="Arial"/>
          <w:color w:val="333333"/>
        </w:rPr>
        <w:t> </w:t>
      </w:r>
      <w:r>
        <w:rPr>
          <w:rStyle w:val="a8"/>
          <w:rFonts w:ascii="Arial" w:hAnsi="Arial" w:cs="Arial"/>
          <w:color w:val="333333"/>
        </w:rPr>
        <w:t> </w:t>
      </w:r>
      <w:r>
        <w:rPr>
          <w:rStyle w:val="a8"/>
          <w:rFonts w:ascii="Arial" w:hAnsi="Arial" w:cs="Arial"/>
          <w:color w:val="333333"/>
        </w:rPr>
        <w:t xml:space="preserve">　告</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Style w:val="a8"/>
          <w:rFonts w:ascii="Arial" w:hAnsi="Arial" w:cs="Arial"/>
          <w:color w:val="333333"/>
        </w:rPr>
        <w:t>（</w:t>
      </w:r>
      <w:r>
        <w:rPr>
          <w:rStyle w:val="a8"/>
          <w:rFonts w:ascii="Arial" w:hAnsi="Arial" w:cs="Arial"/>
          <w:color w:val="333333"/>
        </w:rPr>
        <w:t>2024</w:t>
      </w:r>
      <w:r>
        <w:rPr>
          <w:rStyle w:val="a8"/>
          <w:rFonts w:ascii="Arial" w:hAnsi="Arial" w:cs="Arial"/>
          <w:color w:val="333333"/>
        </w:rPr>
        <w:t>第</w:t>
      </w:r>
      <w:r>
        <w:rPr>
          <w:rStyle w:val="a8"/>
          <w:rFonts w:ascii="Arial" w:hAnsi="Arial" w:cs="Arial"/>
          <w:color w:val="333333"/>
        </w:rPr>
        <w:t>8</w:t>
      </w:r>
      <w:r>
        <w:rPr>
          <w:rStyle w:val="a8"/>
          <w:rFonts w:ascii="Arial" w:hAnsi="Arial" w:cs="Arial"/>
          <w:color w:val="333333"/>
        </w:rPr>
        <w:t>号）</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《贵州省数据流通交易促进条例》已于</w:t>
      </w:r>
      <w:r>
        <w:rPr>
          <w:rFonts w:ascii="Arial" w:hAnsi="Arial" w:cs="Arial"/>
          <w:color w:val="333333"/>
        </w:rPr>
        <w:t>2024</w:t>
      </w:r>
      <w:r>
        <w:rPr>
          <w:rFonts w:ascii="Arial" w:hAnsi="Arial" w:cs="Arial"/>
          <w:color w:val="333333"/>
        </w:rPr>
        <w:t>年</w:t>
      </w:r>
      <w:r>
        <w:rPr>
          <w:rFonts w:ascii="Arial" w:hAnsi="Arial" w:cs="Arial"/>
          <w:color w:val="333333"/>
        </w:rPr>
        <w:t>7</w:t>
      </w:r>
      <w:r>
        <w:rPr>
          <w:rFonts w:ascii="Arial" w:hAnsi="Arial" w:cs="Arial"/>
          <w:color w:val="333333"/>
        </w:rPr>
        <w:t>月</w:t>
      </w:r>
      <w:r>
        <w:rPr>
          <w:rFonts w:ascii="Arial" w:hAnsi="Arial" w:cs="Arial"/>
          <w:color w:val="333333"/>
        </w:rPr>
        <w:t>31</w:t>
      </w:r>
      <w:r>
        <w:rPr>
          <w:rFonts w:ascii="Arial" w:hAnsi="Arial" w:cs="Arial"/>
          <w:color w:val="333333"/>
        </w:rPr>
        <w:t>日经贵州省第十四届人民代表大会常务委员会第十一次会议通过，现予公布，自</w:t>
      </w:r>
      <w:r>
        <w:rPr>
          <w:rFonts w:ascii="Arial" w:hAnsi="Arial" w:cs="Arial"/>
          <w:color w:val="333333"/>
        </w:rPr>
        <w:t>2024</w:t>
      </w:r>
      <w:r>
        <w:rPr>
          <w:rFonts w:ascii="Arial" w:hAnsi="Arial" w:cs="Arial"/>
          <w:color w:val="333333"/>
        </w:rPr>
        <w:t>年</w:t>
      </w:r>
      <w:r>
        <w:rPr>
          <w:rFonts w:ascii="Arial" w:hAnsi="Arial" w:cs="Arial"/>
          <w:color w:val="333333"/>
        </w:rPr>
        <w:t>8</w:t>
      </w:r>
      <w:r>
        <w:rPr>
          <w:rFonts w:ascii="Arial" w:hAnsi="Arial" w:cs="Arial"/>
          <w:color w:val="333333"/>
        </w:rPr>
        <w:t>月</w:t>
      </w:r>
      <w:r>
        <w:rPr>
          <w:rFonts w:ascii="Arial" w:hAnsi="Arial" w:cs="Arial"/>
          <w:color w:val="333333"/>
        </w:rPr>
        <w:t>28</w:t>
      </w:r>
      <w:r>
        <w:rPr>
          <w:rFonts w:ascii="Arial" w:hAnsi="Arial" w:cs="Arial"/>
          <w:color w:val="333333"/>
        </w:rPr>
        <w:t>日起施行。</w:t>
      </w:r>
    </w:p>
    <w:p w:rsidR="003E2066" w:rsidRDefault="003E2066" w:rsidP="003E2066">
      <w:pPr>
        <w:pStyle w:val="a7"/>
        <w:shd w:val="clear" w:color="auto" w:fill="FFFFFF"/>
        <w:spacing w:before="24" w:beforeAutospacing="0" w:after="24" w:afterAutospacing="0" w:line="480" w:lineRule="atLeast"/>
        <w:jc w:val="right"/>
        <w:rPr>
          <w:rFonts w:ascii="Arial" w:hAnsi="Arial" w:cs="Arial"/>
          <w:color w:val="333333"/>
        </w:rPr>
      </w:pPr>
      <w:r>
        <w:rPr>
          <w:rFonts w:ascii="Arial" w:hAnsi="Arial" w:cs="Arial"/>
          <w:color w:val="333333"/>
        </w:rPr>
        <w:t>贵州省人民代表大会常务委员会</w:t>
      </w:r>
    </w:p>
    <w:p w:rsidR="003E2066" w:rsidRDefault="003E2066" w:rsidP="003E2066">
      <w:pPr>
        <w:pStyle w:val="a7"/>
        <w:shd w:val="clear" w:color="auto" w:fill="FFFFFF"/>
        <w:spacing w:before="24" w:beforeAutospacing="0" w:after="24" w:afterAutospacing="0" w:line="480" w:lineRule="atLeast"/>
        <w:jc w:val="right"/>
        <w:rPr>
          <w:rFonts w:ascii="Arial" w:hAnsi="Arial" w:cs="Arial"/>
          <w:color w:val="333333"/>
        </w:rPr>
      </w:pPr>
      <w:r>
        <w:rPr>
          <w:rFonts w:ascii="Arial" w:hAnsi="Arial" w:cs="Arial"/>
          <w:color w:val="333333"/>
        </w:rPr>
        <w:t>2024</w:t>
      </w:r>
      <w:r>
        <w:rPr>
          <w:rFonts w:ascii="Arial" w:hAnsi="Arial" w:cs="Arial"/>
          <w:color w:val="333333"/>
        </w:rPr>
        <w:t>年</w:t>
      </w:r>
      <w:r>
        <w:rPr>
          <w:rFonts w:ascii="Arial" w:hAnsi="Arial" w:cs="Arial"/>
          <w:color w:val="333333"/>
        </w:rPr>
        <w:t>7</w:t>
      </w:r>
      <w:r>
        <w:rPr>
          <w:rFonts w:ascii="Arial" w:hAnsi="Arial" w:cs="Arial"/>
          <w:color w:val="333333"/>
        </w:rPr>
        <w:t>月</w:t>
      </w:r>
      <w:r>
        <w:rPr>
          <w:rFonts w:ascii="Arial" w:hAnsi="Arial" w:cs="Arial"/>
          <w:color w:val="333333"/>
        </w:rPr>
        <w:t>31</w:t>
      </w:r>
      <w:r>
        <w:rPr>
          <w:rFonts w:ascii="Arial" w:hAnsi="Arial" w:cs="Arial"/>
          <w:color w:val="333333"/>
        </w:rPr>
        <w:t>日</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Style w:val="a8"/>
          <w:rFonts w:ascii="Arial" w:hAnsi="Arial" w:cs="Arial"/>
          <w:color w:val="333333"/>
        </w:rPr>
        <w:t>贵州省数据流通交易促进条例</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Style w:val="a8"/>
          <w:rFonts w:ascii="Arial" w:hAnsi="Arial" w:cs="Arial"/>
          <w:color w:val="333333"/>
        </w:rPr>
        <w:t>（</w:t>
      </w:r>
      <w:r>
        <w:rPr>
          <w:rStyle w:val="a8"/>
          <w:rFonts w:ascii="Arial" w:hAnsi="Arial" w:cs="Arial"/>
          <w:color w:val="333333"/>
        </w:rPr>
        <w:t>2024</w:t>
      </w:r>
      <w:r>
        <w:rPr>
          <w:rStyle w:val="a8"/>
          <w:rFonts w:ascii="Arial" w:hAnsi="Arial" w:cs="Arial"/>
          <w:color w:val="333333"/>
        </w:rPr>
        <w:t>年</w:t>
      </w:r>
      <w:r>
        <w:rPr>
          <w:rStyle w:val="a8"/>
          <w:rFonts w:ascii="Arial" w:hAnsi="Arial" w:cs="Arial"/>
          <w:color w:val="333333"/>
        </w:rPr>
        <w:t>7</w:t>
      </w:r>
      <w:r>
        <w:rPr>
          <w:rStyle w:val="a8"/>
          <w:rFonts w:ascii="Arial" w:hAnsi="Arial" w:cs="Arial"/>
          <w:color w:val="333333"/>
        </w:rPr>
        <w:t>月</w:t>
      </w:r>
      <w:r>
        <w:rPr>
          <w:rStyle w:val="a8"/>
          <w:rFonts w:ascii="Arial" w:hAnsi="Arial" w:cs="Arial"/>
          <w:color w:val="333333"/>
        </w:rPr>
        <w:t>31</w:t>
      </w:r>
      <w:r>
        <w:rPr>
          <w:rStyle w:val="a8"/>
          <w:rFonts w:ascii="Arial" w:hAnsi="Arial" w:cs="Arial"/>
          <w:color w:val="333333"/>
        </w:rPr>
        <w:t>日贵州省第十四届人民代表大会常务委员会</w:t>
      </w:r>
    </w:p>
    <w:p w:rsidR="003E2066" w:rsidRDefault="003E2066" w:rsidP="003E2066">
      <w:pPr>
        <w:pStyle w:val="a7"/>
        <w:shd w:val="clear" w:color="auto" w:fill="FFFFFF"/>
        <w:spacing w:before="24" w:beforeAutospacing="0" w:after="24" w:afterAutospacing="0" w:line="480" w:lineRule="atLeast"/>
        <w:jc w:val="both"/>
        <w:rPr>
          <w:rFonts w:ascii="Arial" w:hAnsi="Arial" w:cs="Arial"/>
          <w:color w:val="333333"/>
        </w:rPr>
      </w:pPr>
      <w:r>
        <w:rPr>
          <w:rFonts w:ascii="Arial" w:hAnsi="Arial" w:cs="Arial"/>
          <w:color w:val="333333"/>
        </w:rPr>
        <w:t>第十一次会议通过）</w:t>
      </w:r>
      <w:bookmarkStart w:id="0" w:name="_GoBack"/>
      <w:bookmarkEnd w:id="0"/>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目</w:t>
      </w:r>
      <w:r>
        <w:rPr>
          <w:rFonts w:ascii="Arial" w:hAnsi="Arial" w:cs="Arial"/>
          <w:color w:val="333333"/>
        </w:rPr>
        <w:t> </w:t>
      </w:r>
      <w:r>
        <w:rPr>
          <w:rFonts w:ascii="Arial" w:hAnsi="Arial" w:cs="Arial"/>
          <w:color w:val="333333"/>
        </w:rPr>
        <w:t> </w:t>
      </w:r>
      <w:r>
        <w:rPr>
          <w:rFonts w:ascii="Arial" w:hAnsi="Arial" w:cs="Arial"/>
          <w:color w:val="333333"/>
        </w:rPr>
        <w:t>录</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第一章</w:t>
      </w:r>
      <w:r>
        <w:rPr>
          <w:rFonts w:ascii="Arial" w:hAnsi="Arial" w:cs="Arial"/>
          <w:color w:val="333333"/>
        </w:rPr>
        <w:t> </w:t>
      </w:r>
      <w:r>
        <w:rPr>
          <w:rFonts w:ascii="Arial" w:hAnsi="Arial" w:cs="Arial"/>
          <w:color w:val="333333"/>
        </w:rPr>
        <w:t xml:space="preserve">　总</w:t>
      </w:r>
      <w:r>
        <w:rPr>
          <w:rFonts w:ascii="Arial" w:hAnsi="Arial" w:cs="Arial"/>
          <w:color w:val="333333"/>
        </w:rPr>
        <w:t> </w:t>
      </w:r>
      <w:r>
        <w:rPr>
          <w:rFonts w:ascii="Arial" w:hAnsi="Arial" w:cs="Arial"/>
          <w:color w:val="333333"/>
        </w:rPr>
        <w:t> </w:t>
      </w:r>
      <w:r>
        <w:rPr>
          <w:rFonts w:ascii="Arial" w:hAnsi="Arial" w:cs="Arial"/>
          <w:color w:val="333333"/>
        </w:rPr>
        <w:t> </w:t>
      </w:r>
      <w:r>
        <w:rPr>
          <w:rFonts w:ascii="Arial" w:hAnsi="Arial" w:cs="Arial"/>
          <w:color w:val="333333"/>
        </w:rPr>
        <w:t xml:space="preserve">　则</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第二章</w:t>
      </w:r>
      <w:r>
        <w:rPr>
          <w:rFonts w:ascii="Arial" w:hAnsi="Arial" w:cs="Arial"/>
          <w:color w:val="333333"/>
        </w:rPr>
        <w:t> </w:t>
      </w:r>
      <w:r>
        <w:rPr>
          <w:rFonts w:ascii="Arial" w:hAnsi="Arial" w:cs="Arial"/>
          <w:color w:val="333333"/>
        </w:rPr>
        <w:t xml:space="preserve">　数据交易场所</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第三章</w:t>
      </w:r>
      <w:r>
        <w:rPr>
          <w:rFonts w:ascii="Arial" w:hAnsi="Arial" w:cs="Arial"/>
          <w:color w:val="333333"/>
        </w:rPr>
        <w:t> </w:t>
      </w:r>
      <w:r>
        <w:rPr>
          <w:rFonts w:ascii="Arial" w:hAnsi="Arial" w:cs="Arial"/>
          <w:color w:val="333333"/>
        </w:rPr>
        <w:t xml:space="preserve">　数据授权使用</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第四章</w:t>
      </w:r>
      <w:r>
        <w:rPr>
          <w:rFonts w:ascii="Arial" w:hAnsi="Arial" w:cs="Arial"/>
          <w:color w:val="333333"/>
        </w:rPr>
        <w:t> </w:t>
      </w:r>
      <w:r>
        <w:rPr>
          <w:rFonts w:ascii="Arial" w:hAnsi="Arial" w:cs="Arial"/>
          <w:color w:val="333333"/>
        </w:rPr>
        <w:t xml:space="preserve">　数据权益保护</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第五章</w:t>
      </w:r>
      <w:r>
        <w:rPr>
          <w:rFonts w:ascii="Arial" w:hAnsi="Arial" w:cs="Arial"/>
          <w:color w:val="333333"/>
        </w:rPr>
        <w:t> </w:t>
      </w:r>
      <w:r>
        <w:rPr>
          <w:rFonts w:ascii="Arial" w:hAnsi="Arial" w:cs="Arial"/>
          <w:color w:val="333333"/>
        </w:rPr>
        <w:t xml:space="preserve">　数据流通交易生态培育</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第六章</w:t>
      </w:r>
      <w:r>
        <w:rPr>
          <w:rFonts w:ascii="Arial" w:hAnsi="Arial" w:cs="Arial"/>
          <w:color w:val="333333"/>
        </w:rPr>
        <w:t> </w:t>
      </w:r>
      <w:r>
        <w:rPr>
          <w:rFonts w:ascii="Arial" w:hAnsi="Arial" w:cs="Arial"/>
          <w:color w:val="333333"/>
        </w:rPr>
        <w:t xml:space="preserve">　安全保障</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第七章</w:t>
      </w:r>
      <w:r>
        <w:rPr>
          <w:rFonts w:ascii="Arial" w:hAnsi="Arial" w:cs="Arial"/>
          <w:color w:val="333333"/>
        </w:rPr>
        <w:t> </w:t>
      </w:r>
      <w:r>
        <w:rPr>
          <w:rFonts w:ascii="Arial" w:hAnsi="Arial" w:cs="Arial"/>
          <w:color w:val="333333"/>
        </w:rPr>
        <w:t xml:space="preserve">　法律责任</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第八章</w:t>
      </w:r>
      <w:r>
        <w:rPr>
          <w:rFonts w:ascii="Arial" w:hAnsi="Arial" w:cs="Arial"/>
          <w:color w:val="333333"/>
        </w:rPr>
        <w:t> </w:t>
      </w:r>
      <w:r>
        <w:rPr>
          <w:rFonts w:ascii="Arial" w:hAnsi="Arial" w:cs="Arial"/>
          <w:color w:val="333333"/>
        </w:rPr>
        <w:t xml:space="preserve">　附</w:t>
      </w:r>
      <w:r>
        <w:rPr>
          <w:rFonts w:ascii="Arial" w:hAnsi="Arial" w:cs="Arial"/>
          <w:color w:val="333333"/>
        </w:rPr>
        <w:t> </w:t>
      </w:r>
      <w:r>
        <w:rPr>
          <w:rFonts w:ascii="Arial" w:hAnsi="Arial" w:cs="Arial"/>
          <w:color w:val="333333"/>
        </w:rPr>
        <w:t> </w:t>
      </w:r>
      <w:r>
        <w:rPr>
          <w:rFonts w:ascii="Arial" w:hAnsi="Arial" w:cs="Arial"/>
          <w:color w:val="333333"/>
        </w:rPr>
        <w:t> </w:t>
      </w:r>
      <w:r>
        <w:rPr>
          <w:rFonts w:ascii="Arial" w:hAnsi="Arial" w:cs="Arial"/>
          <w:color w:val="333333"/>
        </w:rPr>
        <w:t xml:space="preserve">　则</w:t>
      </w:r>
    </w:p>
    <w:p w:rsidR="003E2066" w:rsidRDefault="003E2066" w:rsidP="003E2066">
      <w:pPr>
        <w:pStyle w:val="a7"/>
        <w:shd w:val="clear" w:color="auto" w:fill="FFFFFF"/>
        <w:spacing w:before="24" w:beforeAutospacing="0" w:after="24" w:afterAutospacing="0" w:line="480" w:lineRule="atLeast"/>
        <w:ind w:firstLine="480"/>
        <w:jc w:val="center"/>
        <w:rPr>
          <w:rFonts w:ascii="Arial" w:hAnsi="Arial" w:cs="Arial"/>
          <w:color w:val="333333"/>
        </w:rPr>
      </w:pPr>
      <w:r>
        <w:rPr>
          <w:rFonts w:ascii="Arial" w:hAnsi="Arial" w:cs="Arial"/>
          <w:color w:val="333333"/>
        </w:rPr>
        <w:t>第一章</w:t>
      </w:r>
      <w:r>
        <w:rPr>
          <w:rFonts w:ascii="Arial" w:hAnsi="Arial" w:cs="Arial"/>
          <w:color w:val="333333"/>
        </w:rPr>
        <w:t> </w:t>
      </w:r>
      <w:r>
        <w:rPr>
          <w:rFonts w:ascii="Arial" w:hAnsi="Arial" w:cs="Arial"/>
          <w:color w:val="333333"/>
        </w:rPr>
        <w:t xml:space="preserve">　总</w:t>
      </w:r>
      <w:r>
        <w:rPr>
          <w:rFonts w:ascii="Arial" w:hAnsi="Arial" w:cs="Arial"/>
          <w:color w:val="333333"/>
        </w:rPr>
        <w:t> </w:t>
      </w:r>
      <w:r>
        <w:rPr>
          <w:rFonts w:ascii="Arial" w:hAnsi="Arial" w:cs="Arial"/>
          <w:color w:val="333333"/>
        </w:rPr>
        <w:t xml:space="preserve">　则</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第一条</w:t>
      </w:r>
      <w:r>
        <w:rPr>
          <w:rFonts w:ascii="Arial" w:hAnsi="Arial" w:cs="Arial"/>
          <w:color w:val="333333"/>
        </w:rPr>
        <w:t> </w:t>
      </w:r>
      <w:r>
        <w:rPr>
          <w:rFonts w:ascii="Arial" w:hAnsi="Arial" w:cs="Arial"/>
          <w:color w:val="333333"/>
        </w:rPr>
        <w:t> </w:t>
      </w:r>
      <w:r>
        <w:rPr>
          <w:rFonts w:ascii="Arial" w:hAnsi="Arial" w:cs="Arial"/>
          <w:color w:val="333333"/>
        </w:rPr>
        <w:t>为了促进数据流通交易，规范数据流通交易行为，保障数据安全，充分释放数据价值，培育壮大数据要素市场，发展新质生产力，推进数字经济发展创新区建设，根据有关法律、行政法规的规定，结合本省实际，制定本条例。</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第二条</w:t>
      </w:r>
      <w:r>
        <w:rPr>
          <w:rFonts w:ascii="Arial" w:hAnsi="Arial" w:cs="Arial"/>
          <w:color w:val="333333"/>
        </w:rPr>
        <w:t> </w:t>
      </w:r>
      <w:r>
        <w:rPr>
          <w:rFonts w:ascii="Arial" w:hAnsi="Arial" w:cs="Arial"/>
          <w:color w:val="333333"/>
        </w:rPr>
        <w:t> </w:t>
      </w:r>
      <w:r>
        <w:rPr>
          <w:rFonts w:ascii="Arial" w:hAnsi="Arial" w:cs="Arial"/>
          <w:color w:val="333333"/>
        </w:rPr>
        <w:t>在本省行政区域内的数据流通交易及其相关促进、保障、监管等活动，适用本条例。</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lastRenderedPageBreak/>
        <w:t>本条例所称数据流通交易范围包括数据资源及其与算力资源、算法模型等综合形成的数据产品和服务。</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第三条</w:t>
      </w:r>
      <w:r>
        <w:rPr>
          <w:rFonts w:ascii="Arial" w:hAnsi="Arial" w:cs="Arial"/>
          <w:color w:val="333333"/>
        </w:rPr>
        <w:t> </w:t>
      </w:r>
      <w:r>
        <w:rPr>
          <w:rFonts w:ascii="Arial" w:hAnsi="Arial" w:cs="Arial"/>
          <w:color w:val="333333"/>
        </w:rPr>
        <w:t> </w:t>
      </w:r>
      <w:r>
        <w:rPr>
          <w:rFonts w:ascii="Arial" w:hAnsi="Arial" w:cs="Arial"/>
          <w:color w:val="333333"/>
        </w:rPr>
        <w:t>数据流通交易应当坚持政府引导、市场主导，合法合规、优质供给，鼓励创新、释放价值，保障安全、包容审慎的原则。</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第四条</w:t>
      </w:r>
      <w:r>
        <w:rPr>
          <w:rFonts w:ascii="Arial" w:hAnsi="Arial" w:cs="Arial"/>
          <w:color w:val="333333"/>
        </w:rPr>
        <w:t> </w:t>
      </w:r>
      <w:r>
        <w:rPr>
          <w:rFonts w:ascii="Arial" w:hAnsi="Arial" w:cs="Arial"/>
          <w:color w:val="333333"/>
        </w:rPr>
        <w:t> </w:t>
      </w:r>
      <w:r>
        <w:rPr>
          <w:rFonts w:ascii="Arial" w:hAnsi="Arial" w:cs="Arial"/>
          <w:color w:val="333333"/>
        </w:rPr>
        <w:t>省人民政府统一领导全省数据流通交易促进工作，研究决定数据流通交易促进工作的重大事项。</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市州和县级人民政府负责本行政区域内数据流通交易促进工作，支持数据交易场所建设和管理。</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第五条</w:t>
      </w:r>
      <w:r>
        <w:rPr>
          <w:rFonts w:ascii="Arial" w:hAnsi="Arial" w:cs="Arial"/>
          <w:color w:val="333333"/>
        </w:rPr>
        <w:t> </w:t>
      </w:r>
      <w:r>
        <w:rPr>
          <w:rFonts w:ascii="Arial" w:hAnsi="Arial" w:cs="Arial"/>
          <w:color w:val="333333"/>
        </w:rPr>
        <w:t> </w:t>
      </w:r>
      <w:r>
        <w:rPr>
          <w:rFonts w:ascii="Arial" w:hAnsi="Arial" w:cs="Arial"/>
          <w:color w:val="333333"/>
        </w:rPr>
        <w:t>省人民政府数据主管部门负责指导、协调、监督全省数据流通交易促进工作，培育壮大场内交易，规范引导场外交易。</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市州和县级人民政府数据主管部门负责指导、协调、监督本行政区域内数据流通交易促进工作。</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第六条</w:t>
      </w:r>
      <w:r>
        <w:rPr>
          <w:rFonts w:ascii="Arial" w:hAnsi="Arial" w:cs="Arial"/>
          <w:color w:val="333333"/>
        </w:rPr>
        <w:t> </w:t>
      </w:r>
      <w:r>
        <w:rPr>
          <w:rFonts w:ascii="Arial" w:hAnsi="Arial" w:cs="Arial"/>
          <w:color w:val="333333"/>
        </w:rPr>
        <w:t> </w:t>
      </w:r>
      <w:r>
        <w:rPr>
          <w:rFonts w:ascii="Arial" w:hAnsi="Arial" w:cs="Arial"/>
          <w:color w:val="333333"/>
        </w:rPr>
        <w:t>发展改革、工业和信息化、财政、市场监管、国资、税务、科技、网信、公安等部门，在各自职责范围内负责数据流通交易促进工作。</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Fonts w:ascii="Arial" w:hAnsi="Arial" w:cs="Arial"/>
          <w:color w:val="333333"/>
        </w:rPr>
        <w:t>第二章</w:t>
      </w:r>
      <w:r>
        <w:rPr>
          <w:rFonts w:ascii="Arial" w:hAnsi="Arial" w:cs="Arial"/>
          <w:color w:val="333333"/>
        </w:rPr>
        <w:t> </w:t>
      </w:r>
      <w:r>
        <w:rPr>
          <w:rFonts w:ascii="Arial" w:hAnsi="Arial" w:cs="Arial"/>
          <w:color w:val="333333"/>
        </w:rPr>
        <w:t xml:space="preserve">　数据交易场所</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第七条</w:t>
      </w:r>
      <w:r>
        <w:rPr>
          <w:rFonts w:ascii="Arial" w:hAnsi="Arial" w:cs="Arial"/>
          <w:color w:val="333333"/>
        </w:rPr>
        <w:t> </w:t>
      </w:r>
      <w:r>
        <w:rPr>
          <w:rFonts w:ascii="Arial" w:hAnsi="Arial" w:cs="Arial"/>
          <w:color w:val="333333"/>
        </w:rPr>
        <w:t> </w:t>
      </w:r>
      <w:r>
        <w:rPr>
          <w:rFonts w:ascii="Arial" w:hAnsi="Arial" w:cs="Arial"/>
          <w:color w:val="333333"/>
        </w:rPr>
        <w:t>本条例所称数据交易场所是指经依法批准设立，组织开展数据交易活动的交易场所。本省行政区域内数据交易场所的设立由省人民政府批准。</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省人民政府数据主管部门负责数据交易场所行业管理，会同有关部门共同维护行业秩序，履行行业风险处置职责。</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第八条</w:t>
      </w:r>
      <w:r>
        <w:rPr>
          <w:rFonts w:ascii="Arial" w:hAnsi="Arial" w:cs="Arial"/>
          <w:color w:val="333333"/>
        </w:rPr>
        <w:t> </w:t>
      </w:r>
      <w:r>
        <w:rPr>
          <w:rFonts w:ascii="Arial" w:hAnsi="Arial" w:cs="Arial"/>
          <w:color w:val="333333"/>
        </w:rPr>
        <w:t> </w:t>
      </w:r>
      <w:r>
        <w:rPr>
          <w:rFonts w:ascii="Arial" w:hAnsi="Arial" w:cs="Arial"/>
          <w:color w:val="333333"/>
        </w:rPr>
        <w:t>数据交易场所按照相关法律、法规以及国家和省的有关规定，制定交易规则、业务流程、登记结算、风险控制、重大事项监测与报告、信息披露、安全管理等制度，提供规范透明、安全可控、行为可溯的数据交易服务。</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贵阳大数据交易所是我省依法设立的数据交易场所，应当突出其公共属性和自律合规监管功能，面向和服务全国统一大市场。推动贵阳大数据交易所与其他数据交易场所互认互通。</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第九条</w:t>
      </w:r>
      <w:r>
        <w:rPr>
          <w:rFonts w:ascii="Arial" w:hAnsi="Arial" w:cs="Arial"/>
          <w:color w:val="333333"/>
        </w:rPr>
        <w:t> </w:t>
      </w:r>
      <w:r>
        <w:rPr>
          <w:rFonts w:ascii="Arial" w:hAnsi="Arial" w:cs="Arial"/>
          <w:color w:val="333333"/>
        </w:rPr>
        <w:t> </w:t>
      </w:r>
      <w:r>
        <w:rPr>
          <w:rFonts w:ascii="Arial" w:hAnsi="Arial" w:cs="Arial"/>
          <w:color w:val="333333"/>
        </w:rPr>
        <w:t>鼓励数据流通交易主体通过依法设立的数据交易场所进行场内交易。</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lastRenderedPageBreak/>
        <w:t>国家机关、公共企事业单位开展数据流通交易，纳入公共资源交易目录的，应当通过依法设立的数据交易场所进行场内交易。</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第十条</w:t>
      </w:r>
      <w:r>
        <w:rPr>
          <w:rFonts w:ascii="Arial" w:hAnsi="Arial" w:cs="Arial"/>
          <w:color w:val="333333"/>
        </w:rPr>
        <w:t> </w:t>
      </w:r>
      <w:r>
        <w:rPr>
          <w:rFonts w:ascii="Arial" w:hAnsi="Arial" w:cs="Arial"/>
          <w:color w:val="333333"/>
        </w:rPr>
        <w:t> </w:t>
      </w:r>
      <w:r>
        <w:rPr>
          <w:rFonts w:ascii="Arial" w:hAnsi="Arial" w:cs="Arial"/>
          <w:color w:val="333333"/>
        </w:rPr>
        <w:t>数据交易场所应当建立健全数据成本、价格、价值评估机制，搭建数据资产评估计价公共服务平台，配合价格主管部门开展数据交易价格监测工作。</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Fonts w:ascii="Arial" w:hAnsi="Arial" w:cs="Arial"/>
          <w:color w:val="333333"/>
        </w:rPr>
        <w:t>第三章</w:t>
      </w:r>
      <w:r>
        <w:rPr>
          <w:rFonts w:ascii="Arial" w:hAnsi="Arial" w:cs="Arial"/>
          <w:color w:val="333333"/>
        </w:rPr>
        <w:t> </w:t>
      </w:r>
      <w:r>
        <w:rPr>
          <w:rFonts w:ascii="Arial" w:hAnsi="Arial" w:cs="Arial"/>
          <w:color w:val="333333"/>
        </w:rPr>
        <w:t xml:space="preserve">　数据授权使用</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第十一条</w:t>
      </w:r>
      <w:r>
        <w:rPr>
          <w:rFonts w:ascii="Arial" w:hAnsi="Arial" w:cs="Arial"/>
          <w:color w:val="333333"/>
        </w:rPr>
        <w:t> </w:t>
      </w:r>
      <w:r>
        <w:rPr>
          <w:rFonts w:ascii="Arial" w:hAnsi="Arial" w:cs="Arial"/>
          <w:color w:val="333333"/>
        </w:rPr>
        <w:t> </w:t>
      </w:r>
      <w:r>
        <w:rPr>
          <w:rFonts w:ascii="Arial" w:hAnsi="Arial" w:cs="Arial"/>
          <w:color w:val="333333"/>
        </w:rPr>
        <w:t>省人民政府数据主管部门应当会同有关部门制定公共数据资源目录编制规范。县级以上人民政府数据主管部门应当组织国家机关、公共企事业单位按照规范编制公共数据资源目录，并纳入全省统一的公共数据资源目录体系。</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县级以上人民政府数据主管部门负责统筹管理本级公共数据。除法律、法规规定外，国家机关应当按照公共数据资源目录向同级数据主管部门归集公共数据。教育、医疗等事业单位应当按照公共数据资源目录通过行业主管部门向同级数据主管部门归集数据。</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第十二条</w:t>
      </w:r>
      <w:r>
        <w:rPr>
          <w:rFonts w:ascii="Arial" w:hAnsi="Arial" w:cs="Arial"/>
          <w:color w:val="333333"/>
        </w:rPr>
        <w:t> </w:t>
      </w:r>
      <w:r>
        <w:rPr>
          <w:rFonts w:ascii="Arial" w:hAnsi="Arial" w:cs="Arial"/>
          <w:color w:val="333333"/>
        </w:rPr>
        <w:t> </w:t>
      </w:r>
      <w:r>
        <w:rPr>
          <w:rFonts w:ascii="Arial" w:hAnsi="Arial" w:cs="Arial"/>
          <w:color w:val="333333"/>
        </w:rPr>
        <w:t>公共数据授权运营应当在保护个人隐私和确保公共安全的前提下，依法依规以数据产品和服务等形式向社会提供。</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县级以上人民政府数据主管部门依法授权具备条件的市场主体运营本级所归集的公共数据。</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鼓励各级国有企业依法依规运用自主运营或者授权运营等形式运营本单位数据。</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鼓励利用公共数据开发形成的数据产品和服务通过数据交易场所进行交易。</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公共数据授权运营的具体办法由省人民政府制定。</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第十三条</w:t>
      </w:r>
      <w:r>
        <w:rPr>
          <w:rFonts w:ascii="Arial" w:hAnsi="Arial" w:cs="Arial"/>
          <w:color w:val="333333"/>
        </w:rPr>
        <w:t> </w:t>
      </w:r>
      <w:r>
        <w:rPr>
          <w:rFonts w:ascii="Arial" w:hAnsi="Arial" w:cs="Arial"/>
          <w:color w:val="333333"/>
        </w:rPr>
        <w:t> </w:t>
      </w:r>
      <w:r>
        <w:rPr>
          <w:rFonts w:ascii="Arial" w:hAnsi="Arial" w:cs="Arial"/>
          <w:color w:val="333333"/>
        </w:rPr>
        <w:t>支持企业在生产经营活动中采集加工的数据依法依规流通使用，加强数据要素供给激励。</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第十四条</w:t>
      </w:r>
      <w:r>
        <w:rPr>
          <w:rFonts w:ascii="Arial" w:hAnsi="Arial" w:cs="Arial"/>
          <w:color w:val="333333"/>
        </w:rPr>
        <w:t> </w:t>
      </w:r>
      <w:r>
        <w:rPr>
          <w:rFonts w:ascii="Arial" w:hAnsi="Arial" w:cs="Arial"/>
          <w:color w:val="333333"/>
        </w:rPr>
        <w:t> </w:t>
      </w:r>
      <w:r>
        <w:rPr>
          <w:rFonts w:ascii="Arial" w:hAnsi="Arial" w:cs="Arial"/>
          <w:color w:val="333333"/>
        </w:rPr>
        <w:t>鼓励企业开展数据治理与数据资产评估工作，探索企业数据授权使用新模式，促进数据要素依法依规供给使用。引导行业龙头企业、互联网平台企业发挥带动作用，促进与中小微企业双向公平授权，共同合理使用数据，赋能中小微企业数字化转型。</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第十五条</w:t>
      </w:r>
      <w:r>
        <w:rPr>
          <w:rFonts w:ascii="Arial" w:hAnsi="Arial" w:cs="Arial"/>
          <w:color w:val="333333"/>
        </w:rPr>
        <w:t> </w:t>
      </w:r>
      <w:r>
        <w:rPr>
          <w:rFonts w:ascii="Arial" w:hAnsi="Arial" w:cs="Arial"/>
          <w:color w:val="333333"/>
        </w:rPr>
        <w:t> </w:t>
      </w:r>
      <w:r>
        <w:rPr>
          <w:rFonts w:ascii="Arial" w:hAnsi="Arial" w:cs="Arial"/>
          <w:color w:val="333333"/>
        </w:rPr>
        <w:t>建立健全个人信息数据授权使用机制，促进个人信息数据安全合规流通使用。</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lastRenderedPageBreak/>
        <w:t>处理个人信息数据应当征得该自然人或者其监护人同意，法律、行政法规另有规定的除外。</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第十六条</w:t>
      </w:r>
      <w:r>
        <w:rPr>
          <w:rFonts w:ascii="Arial" w:hAnsi="Arial" w:cs="Arial"/>
          <w:color w:val="333333"/>
        </w:rPr>
        <w:t> </w:t>
      </w:r>
      <w:r>
        <w:rPr>
          <w:rFonts w:ascii="Arial" w:hAnsi="Arial" w:cs="Arial"/>
          <w:color w:val="333333"/>
        </w:rPr>
        <w:t> </w:t>
      </w:r>
      <w:r>
        <w:rPr>
          <w:rFonts w:ascii="Arial" w:hAnsi="Arial" w:cs="Arial"/>
          <w:color w:val="333333"/>
        </w:rPr>
        <w:t>创新技术手段，推动个人信息匿名化处理，保障使用个人信息数据的信息安全和个人隐私。</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第十七条</w:t>
      </w:r>
      <w:r>
        <w:rPr>
          <w:rFonts w:ascii="Arial" w:hAnsi="Arial" w:cs="Arial"/>
          <w:color w:val="333333"/>
        </w:rPr>
        <w:t> </w:t>
      </w:r>
      <w:r>
        <w:rPr>
          <w:rFonts w:ascii="Arial" w:hAnsi="Arial" w:cs="Arial"/>
          <w:color w:val="333333"/>
        </w:rPr>
        <w:t> </w:t>
      </w:r>
      <w:r>
        <w:rPr>
          <w:rFonts w:ascii="Arial" w:hAnsi="Arial" w:cs="Arial"/>
          <w:color w:val="333333"/>
        </w:rPr>
        <w:t>用于数字化发展的公共数据依法依规实行政府指导定价，企业与个人信息数据实行市场自主定价。</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用于公共治理、公益事业的公共数据实行有条件无偿使用，用于产业发展、行业发展的公共数据实行有条件有偿使用。</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政府取得的授权收入应当按照相关规定缴入同级财政。</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Fonts w:ascii="Arial" w:hAnsi="Arial" w:cs="Arial"/>
          <w:color w:val="333333"/>
        </w:rPr>
        <w:t>第四章</w:t>
      </w:r>
      <w:r>
        <w:rPr>
          <w:rFonts w:ascii="Arial" w:hAnsi="Arial" w:cs="Arial"/>
          <w:color w:val="333333"/>
        </w:rPr>
        <w:t> </w:t>
      </w:r>
      <w:r>
        <w:rPr>
          <w:rFonts w:ascii="Arial" w:hAnsi="Arial" w:cs="Arial"/>
          <w:color w:val="333333"/>
        </w:rPr>
        <w:t xml:space="preserve">　数据权益保护</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第十八条</w:t>
      </w:r>
      <w:r>
        <w:rPr>
          <w:rFonts w:ascii="Arial" w:hAnsi="Arial" w:cs="Arial"/>
          <w:color w:val="333333"/>
        </w:rPr>
        <w:t> </w:t>
      </w:r>
      <w:r>
        <w:rPr>
          <w:rFonts w:ascii="Arial" w:hAnsi="Arial" w:cs="Arial"/>
          <w:color w:val="333333"/>
        </w:rPr>
        <w:t> </w:t>
      </w:r>
      <w:r>
        <w:rPr>
          <w:rFonts w:ascii="Arial" w:hAnsi="Arial" w:cs="Arial"/>
          <w:color w:val="333333"/>
        </w:rPr>
        <w:t>依法保护数据流通交易主体在数据流通交易活动中享有的数据资源持有、数据加工使用、数据产品经营等合法权益，以及基于法律规定或者合同约定流转数据相关财产性权益。</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数据流通交易主体包括参与数据流通交易的数据来源者、数据处理者等自然人、法人和非法人组织。</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 xml:space="preserve">第十九条　</w:t>
      </w:r>
      <w:r>
        <w:rPr>
          <w:rFonts w:ascii="Arial" w:hAnsi="Arial" w:cs="Arial"/>
          <w:color w:val="333333"/>
        </w:rPr>
        <w:t> </w:t>
      </w:r>
      <w:r>
        <w:rPr>
          <w:rFonts w:ascii="Arial" w:hAnsi="Arial" w:cs="Arial"/>
          <w:color w:val="333333"/>
        </w:rPr>
        <w:t>省人民政府数据主管部门承担数据要素登记服务管理工作。</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数据要素登记服务事项包括数据要素名称、来源、适用场景、交付方式、交易行为等，具体办法由省人民政府制定。</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鼓励数据流通交易主体按照数据要素登记服务的具体办法，对数据要素以及在流通交易活动中的数据资源持有、数据加工使用、数据产品经营等权益进行登记记录。</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第二十条</w:t>
      </w:r>
      <w:r>
        <w:rPr>
          <w:rFonts w:ascii="Arial" w:hAnsi="Arial" w:cs="Arial"/>
          <w:color w:val="333333"/>
        </w:rPr>
        <w:t> </w:t>
      </w:r>
      <w:r>
        <w:rPr>
          <w:rFonts w:ascii="Arial" w:hAnsi="Arial" w:cs="Arial"/>
          <w:color w:val="333333"/>
        </w:rPr>
        <w:t> </w:t>
      </w:r>
      <w:r>
        <w:rPr>
          <w:rFonts w:ascii="Arial" w:hAnsi="Arial" w:cs="Arial"/>
          <w:color w:val="333333"/>
        </w:rPr>
        <w:t>依法保护数据来源者合法权益，推动基于知情同意或者存在法定事由的数据流通使用模式，保障数据来源者享有获取或者复制转移由其促成产生数据的权益。</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第二十一条</w:t>
      </w:r>
      <w:r>
        <w:rPr>
          <w:rFonts w:ascii="Arial" w:hAnsi="Arial" w:cs="Arial"/>
          <w:color w:val="333333"/>
        </w:rPr>
        <w:t> </w:t>
      </w:r>
      <w:r>
        <w:rPr>
          <w:rFonts w:ascii="Arial" w:hAnsi="Arial" w:cs="Arial"/>
          <w:color w:val="333333"/>
        </w:rPr>
        <w:t> </w:t>
      </w:r>
      <w:r>
        <w:rPr>
          <w:rFonts w:ascii="Arial" w:hAnsi="Arial" w:cs="Arial"/>
          <w:color w:val="333333"/>
        </w:rPr>
        <w:t>依法保护数据处理者对依法依规持有的数据进行自主管控的权益。</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第二十二条</w:t>
      </w:r>
      <w:r>
        <w:rPr>
          <w:rFonts w:ascii="Arial" w:hAnsi="Arial" w:cs="Arial"/>
          <w:color w:val="333333"/>
        </w:rPr>
        <w:t> </w:t>
      </w:r>
      <w:r>
        <w:rPr>
          <w:rFonts w:ascii="Arial" w:hAnsi="Arial" w:cs="Arial"/>
          <w:color w:val="333333"/>
        </w:rPr>
        <w:t> </w:t>
      </w:r>
      <w:r>
        <w:rPr>
          <w:rFonts w:ascii="Arial" w:hAnsi="Arial" w:cs="Arial"/>
          <w:color w:val="333333"/>
        </w:rPr>
        <w:t>依法保护数据处理者依照法律规定或者合同约定获取的数据加工使用权，保障数据处理者根据劳动和其他要素贡献获得收益的权利。</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lastRenderedPageBreak/>
        <w:t>数据处理者加工使用数据，不得侵害国家安全、公共利益、数据来源者合法权益。</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第二十三条</w:t>
      </w:r>
      <w:r>
        <w:rPr>
          <w:rFonts w:ascii="Arial" w:hAnsi="Arial" w:cs="Arial"/>
          <w:color w:val="333333"/>
        </w:rPr>
        <w:t> </w:t>
      </w:r>
      <w:r>
        <w:rPr>
          <w:rFonts w:ascii="Arial" w:hAnsi="Arial" w:cs="Arial"/>
          <w:color w:val="333333"/>
        </w:rPr>
        <w:t> </w:t>
      </w:r>
      <w:r>
        <w:rPr>
          <w:rFonts w:ascii="Arial" w:hAnsi="Arial" w:cs="Arial"/>
          <w:color w:val="333333"/>
        </w:rPr>
        <w:t>依法保护数据处理者经加工、分析等形成数据、数据产品和服务的经营权，依法规范数据处理者许可他人使用数据、数据产品和服务的权利，促进数据要素流通复用。</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第二十四条</w:t>
      </w:r>
      <w:r>
        <w:rPr>
          <w:rFonts w:ascii="Arial" w:hAnsi="Arial" w:cs="Arial"/>
          <w:color w:val="333333"/>
        </w:rPr>
        <w:t> </w:t>
      </w:r>
      <w:r>
        <w:rPr>
          <w:rFonts w:ascii="Arial" w:hAnsi="Arial" w:cs="Arial"/>
          <w:color w:val="333333"/>
        </w:rPr>
        <w:t> </w:t>
      </w:r>
      <w:r>
        <w:rPr>
          <w:rFonts w:ascii="Arial" w:hAnsi="Arial" w:cs="Arial"/>
          <w:color w:val="333333"/>
        </w:rPr>
        <w:t>数据流通交易主体发生合并、分立、解散、被宣告破产，相关权利和义务依法依规转移。</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Fonts w:ascii="Arial" w:hAnsi="Arial" w:cs="Arial"/>
          <w:color w:val="333333"/>
        </w:rPr>
        <w:t>第五章</w:t>
      </w:r>
      <w:r>
        <w:rPr>
          <w:rFonts w:ascii="Arial" w:hAnsi="Arial" w:cs="Arial"/>
          <w:color w:val="333333"/>
        </w:rPr>
        <w:t> </w:t>
      </w:r>
      <w:r>
        <w:rPr>
          <w:rFonts w:ascii="Arial" w:hAnsi="Arial" w:cs="Arial"/>
          <w:color w:val="333333"/>
        </w:rPr>
        <w:t xml:space="preserve">　数据流通交易生态培育</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第二十五条</w:t>
      </w:r>
      <w:r>
        <w:rPr>
          <w:rFonts w:ascii="Arial" w:hAnsi="Arial" w:cs="Arial"/>
          <w:color w:val="333333"/>
        </w:rPr>
        <w:t> </w:t>
      </w:r>
      <w:r>
        <w:rPr>
          <w:rFonts w:ascii="Arial" w:hAnsi="Arial" w:cs="Arial"/>
          <w:color w:val="333333"/>
        </w:rPr>
        <w:t> </w:t>
      </w:r>
      <w:r>
        <w:rPr>
          <w:rFonts w:ascii="Arial" w:hAnsi="Arial" w:cs="Arial"/>
          <w:color w:val="333333"/>
        </w:rPr>
        <w:t>支持数据流通交易主体依法依规采取开放、共享、交换、交易等方式流通数据，创新数据流通技术和模式，推进数据采集和接口标准化，推动数据跨区域、跨行业流通使用。</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第二十六条</w:t>
      </w:r>
      <w:r>
        <w:rPr>
          <w:rFonts w:ascii="Arial" w:hAnsi="Arial" w:cs="Arial"/>
          <w:color w:val="333333"/>
        </w:rPr>
        <w:t> </w:t>
      </w:r>
      <w:r>
        <w:rPr>
          <w:rFonts w:ascii="Arial" w:hAnsi="Arial" w:cs="Arial"/>
          <w:color w:val="333333"/>
        </w:rPr>
        <w:t> </w:t>
      </w:r>
      <w:r>
        <w:rPr>
          <w:rFonts w:ascii="Arial" w:hAnsi="Arial" w:cs="Arial"/>
          <w:color w:val="333333"/>
        </w:rPr>
        <w:t>省人民政府标准化行政主管部门会同数据主管部门建立健全数据流通交易标准体系，完善数据要素地方标准。</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鼓励和支持数据流通交易主体以及企业、高等院校、科研机构、行业组织等开展或者参与数据流通交易国家标准、行业标准、地方标准、团体标准、企业标准的制定。</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第二十七条</w:t>
      </w:r>
      <w:r>
        <w:rPr>
          <w:rFonts w:ascii="Arial" w:hAnsi="Arial" w:cs="Arial"/>
          <w:color w:val="333333"/>
        </w:rPr>
        <w:t> </w:t>
      </w:r>
      <w:r>
        <w:rPr>
          <w:rFonts w:ascii="Arial" w:hAnsi="Arial" w:cs="Arial"/>
          <w:color w:val="333333"/>
        </w:rPr>
        <w:t> </w:t>
      </w:r>
      <w:r>
        <w:rPr>
          <w:rFonts w:ascii="Arial" w:hAnsi="Arial" w:cs="Arial"/>
          <w:color w:val="333333"/>
        </w:rPr>
        <w:t>围绕促进数据要素合规高效、安全有序流通和交易需要，培育壮大数据流通交易服务业。</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支持在金融、教育、税务、医疗、文旅、体育、人力资源、住建、通信、能源、交通、气象、公共资源交易、水利、生态环境、自然资源、农业农村等领域培育行业性、产业化数据商。支持数据商为数据交易双方提供数据产品开发、发布、承销，以及数据资产合规化、标准化、增值化服务。</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支持数据集成、数据经纪、合规认证、安全审计、数据公证、质量评估、数据保险、数据托管、资产评估、争议仲裁、风险评估、人才培训等第三方专业服务机构有序发展。</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第二十八条</w:t>
      </w:r>
      <w:r>
        <w:rPr>
          <w:rFonts w:ascii="Arial" w:hAnsi="Arial" w:cs="Arial"/>
          <w:color w:val="333333"/>
        </w:rPr>
        <w:t> </w:t>
      </w:r>
      <w:r>
        <w:rPr>
          <w:rFonts w:ascii="Arial" w:hAnsi="Arial" w:cs="Arial"/>
          <w:color w:val="333333"/>
        </w:rPr>
        <w:t> </w:t>
      </w:r>
      <w:r>
        <w:rPr>
          <w:rFonts w:ascii="Arial" w:hAnsi="Arial" w:cs="Arial"/>
          <w:color w:val="333333"/>
        </w:rPr>
        <w:t>县级以上人民政府以及有关部门应当建立完善数据流通交易相关领域的人才引进、培育、评价、激励机制，落实鼓励创新、包容创新的容错纠错机制。</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lastRenderedPageBreak/>
        <w:t>支持企业、高等院校、科研机构、行业组织围绕数据可信流通、隐私计算、合规审查等环节开展产学研深度合作，加强关键核心技术研究和成果转化。</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支持引进国际和国家级大数据科研机构在本省设立研发中心。</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第二十九条</w:t>
      </w:r>
      <w:r>
        <w:rPr>
          <w:rFonts w:ascii="Arial" w:hAnsi="Arial" w:cs="Arial"/>
          <w:color w:val="333333"/>
        </w:rPr>
        <w:t> </w:t>
      </w:r>
      <w:r>
        <w:rPr>
          <w:rFonts w:ascii="Arial" w:hAnsi="Arial" w:cs="Arial"/>
          <w:color w:val="333333"/>
        </w:rPr>
        <w:t> </w:t>
      </w:r>
      <w:r>
        <w:rPr>
          <w:rFonts w:ascii="Arial" w:hAnsi="Arial" w:cs="Arial"/>
          <w:color w:val="333333"/>
        </w:rPr>
        <w:t>地方金融管理、财政、税务、教育、人力资源社会保障等部门应当在金融、财税、人才等方面，支持、扶持与激励数据要素型企业发展。</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数据要素型企业认定管理制度由省人民政府制定。</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第三十条</w:t>
      </w:r>
      <w:r>
        <w:rPr>
          <w:rFonts w:ascii="Arial" w:hAnsi="Arial" w:cs="Arial"/>
          <w:color w:val="333333"/>
        </w:rPr>
        <w:t> </w:t>
      </w:r>
      <w:r>
        <w:rPr>
          <w:rFonts w:ascii="Arial" w:hAnsi="Arial" w:cs="Arial"/>
          <w:color w:val="333333"/>
        </w:rPr>
        <w:t> </w:t>
      </w:r>
      <w:r>
        <w:rPr>
          <w:rFonts w:ascii="Arial" w:hAnsi="Arial" w:cs="Arial"/>
          <w:color w:val="333333"/>
        </w:rPr>
        <w:t>省人民政府财政部门应当依法组织企业落实企业数据资源会计处理相关规定，会同有关部门引导和规范相关企业对数据资产进行确认、评估、计量、披露等。</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第三十一条</w:t>
      </w:r>
      <w:r>
        <w:rPr>
          <w:rFonts w:ascii="Arial" w:hAnsi="Arial" w:cs="Arial"/>
          <w:color w:val="333333"/>
        </w:rPr>
        <w:t> </w:t>
      </w:r>
      <w:r>
        <w:rPr>
          <w:rFonts w:ascii="Arial" w:hAnsi="Arial" w:cs="Arial"/>
          <w:color w:val="333333"/>
        </w:rPr>
        <w:t> </w:t>
      </w:r>
      <w:r>
        <w:rPr>
          <w:rFonts w:ascii="Arial" w:hAnsi="Arial" w:cs="Arial"/>
          <w:color w:val="333333"/>
        </w:rPr>
        <w:t>财政、发展改革、数据主管等部门应当按照各自职责将数据资产质押贷款纳入信贷风险补偿资金支持范畴。支持银行、保险、担保、信托等金融机构在风险可控前提下进行数据资产质押融资、数据资产保险、数据资产担保等数据要素资产化创新服务，加大对各类数据商和第三方专业服务机构的融资扶持力度。</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第三十二条</w:t>
      </w:r>
      <w:r>
        <w:rPr>
          <w:rFonts w:ascii="Arial" w:hAnsi="Arial" w:cs="Arial"/>
          <w:color w:val="333333"/>
        </w:rPr>
        <w:t> </w:t>
      </w:r>
      <w:r>
        <w:rPr>
          <w:rFonts w:ascii="Arial" w:hAnsi="Arial" w:cs="Arial"/>
          <w:color w:val="333333"/>
        </w:rPr>
        <w:t> </w:t>
      </w:r>
      <w:r>
        <w:rPr>
          <w:rFonts w:ascii="Arial" w:hAnsi="Arial" w:cs="Arial"/>
          <w:color w:val="333333"/>
        </w:rPr>
        <w:t>充分利用中国国际大数据产业博览会等平台，促进对外交流合作，营造全社会积极参与数据要素市场建设的良好氛围，培育壮大数据产业生态。</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Fonts w:ascii="Arial" w:hAnsi="Arial" w:cs="Arial"/>
          <w:color w:val="333333"/>
        </w:rPr>
        <w:t>第六章</w:t>
      </w:r>
      <w:r>
        <w:rPr>
          <w:rFonts w:ascii="Arial" w:hAnsi="Arial" w:cs="Arial"/>
          <w:color w:val="333333"/>
        </w:rPr>
        <w:t> </w:t>
      </w:r>
      <w:r>
        <w:rPr>
          <w:rFonts w:ascii="Arial" w:hAnsi="Arial" w:cs="Arial"/>
          <w:color w:val="333333"/>
        </w:rPr>
        <w:t xml:space="preserve">　安全保障</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第三十三条</w:t>
      </w:r>
      <w:r>
        <w:rPr>
          <w:rFonts w:ascii="Arial" w:hAnsi="Arial" w:cs="Arial"/>
          <w:color w:val="333333"/>
        </w:rPr>
        <w:t> </w:t>
      </w:r>
      <w:r>
        <w:rPr>
          <w:rFonts w:ascii="Arial" w:hAnsi="Arial" w:cs="Arial"/>
          <w:color w:val="333333"/>
        </w:rPr>
        <w:t> </w:t>
      </w:r>
      <w:r>
        <w:rPr>
          <w:rFonts w:ascii="Arial" w:hAnsi="Arial" w:cs="Arial"/>
          <w:color w:val="333333"/>
        </w:rPr>
        <w:t>开展数据流通交易活动，应当尊重社会公德和伦理，遵守商业道德、职业道德，诚实守信，履行数据安全保护义务，承担社会责任。有下列情形之一的，不得进行流通交易：</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（一）危害国家安全、公共利益，侵犯他人合法权益的；</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（二）未经合法权利人授权同意的；</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（三）法律、行政法规禁止的其他情形。</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第三十四条</w:t>
      </w:r>
      <w:r>
        <w:rPr>
          <w:rFonts w:ascii="Arial" w:hAnsi="Arial" w:cs="Arial"/>
          <w:color w:val="333333"/>
        </w:rPr>
        <w:t> </w:t>
      </w:r>
      <w:r>
        <w:rPr>
          <w:rFonts w:ascii="Arial" w:hAnsi="Arial" w:cs="Arial"/>
          <w:color w:val="333333"/>
        </w:rPr>
        <w:t> </w:t>
      </w:r>
      <w:r>
        <w:rPr>
          <w:rFonts w:ascii="Arial" w:hAnsi="Arial" w:cs="Arial"/>
          <w:color w:val="333333"/>
        </w:rPr>
        <w:t>省人民政府数据主管部门和其他有关部门履行本行业本领域数据安全监管职责，建立健全数据流通交易跨部门协同监管机制，指导数据流通交易主体建立行业自律机制，健全投诉举报查处机制。</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lastRenderedPageBreak/>
        <w:t>县级以上人民政府市场监管部门应当依职权加强数据流通交易主体、数据交易场所以及数据流通交易活动的监管，强化反垄断和反不正当竞争。</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第三十五条</w:t>
      </w:r>
      <w:r>
        <w:rPr>
          <w:rFonts w:ascii="Arial" w:hAnsi="Arial" w:cs="Arial"/>
          <w:color w:val="333333"/>
        </w:rPr>
        <w:t> </w:t>
      </w:r>
      <w:r>
        <w:rPr>
          <w:rFonts w:ascii="Arial" w:hAnsi="Arial" w:cs="Arial"/>
          <w:color w:val="333333"/>
        </w:rPr>
        <w:t> </w:t>
      </w:r>
      <w:r>
        <w:rPr>
          <w:rFonts w:ascii="Arial" w:hAnsi="Arial" w:cs="Arial"/>
          <w:color w:val="333333"/>
        </w:rPr>
        <w:t>省人民政府数据主管部门应当会同网信、公安、国家安全等部门定期对数据交易场所履行数据流通交易安全责任、落实数据流通交易安全管理制度和保护技术措施等情况进行检查，发现数据交易场所存在安全风险的，应当提出整改要求并督促落实。</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第三十六条</w:t>
      </w:r>
      <w:r>
        <w:rPr>
          <w:rFonts w:ascii="Arial" w:hAnsi="Arial" w:cs="Arial"/>
          <w:color w:val="333333"/>
        </w:rPr>
        <w:t> </w:t>
      </w:r>
      <w:r>
        <w:rPr>
          <w:rFonts w:ascii="Arial" w:hAnsi="Arial" w:cs="Arial"/>
          <w:color w:val="333333"/>
        </w:rPr>
        <w:t> </w:t>
      </w:r>
      <w:r>
        <w:rPr>
          <w:rFonts w:ascii="Arial" w:hAnsi="Arial" w:cs="Arial"/>
          <w:color w:val="333333"/>
        </w:rPr>
        <w:t>数据交易场所应当建立健全信息化系统运行维护制度和应急处置预案。信息化系统应当依法通过网信、公安、国家安全等部门组织的网络安全审查，符合国家信息安全等级保护等相关要求。</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第三十七条</w:t>
      </w:r>
      <w:r>
        <w:rPr>
          <w:rFonts w:ascii="Arial" w:hAnsi="Arial" w:cs="Arial"/>
          <w:color w:val="333333"/>
        </w:rPr>
        <w:t> </w:t>
      </w:r>
      <w:r>
        <w:rPr>
          <w:rFonts w:ascii="Arial" w:hAnsi="Arial" w:cs="Arial"/>
          <w:color w:val="333333"/>
        </w:rPr>
        <w:t> </w:t>
      </w:r>
      <w:r>
        <w:rPr>
          <w:rFonts w:ascii="Arial" w:hAnsi="Arial" w:cs="Arial"/>
          <w:color w:val="333333"/>
        </w:rPr>
        <w:t>数据授权运营按照谁授权谁负责、谁运营谁负责、谁使用谁负责的原则确定安全责任。数据授权机构应当严格控制授权范围，数据运营机构应当加强数据安全使用管理，不得违反法律、法规规定或者超出授权范围运营数据，确保数据来源可溯、去向可查、行为留痕、责任可究。</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Fonts w:ascii="Arial" w:hAnsi="Arial" w:cs="Arial"/>
          <w:color w:val="333333"/>
        </w:rPr>
        <w:t>第七章</w:t>
      </w:r>
      <w:r>
        <w:rPr>
          <w:rFonts w:ascii="Arial" w:hAnsi="Arial" w:cs="Arial"/>
          <w:color w:val="333333"/>
        </w:rPr>
        <w:t> </w:t>
      </w:r>
      <w:r>
        <w:rPr>
          <w:rFonts w:ascii="Arial" w:hAnsi="Arial" w:cs="Arial"/>
          <w:color w:val="333333"/>
        </w:rPr>
        <w:t xml:space="preserve">　法律责任</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第三十八条</w:t>
      </w:r>
      <w:r>
        <w:rPr>
          <w:rFonts w:ascii="Arial" w:hAnsi="Arial" w:cs="Arial"/>
          <w:color w:val="333333"/>
        </w:rPr>
        <w:t> </w:t>
      </w:r>
      <w:r>
        <w:rPr>
          <w:rFonts w:ascii="Arial" w:hAnsi="Arial" w:cs="Arial"/>
          <w:color w:val="333333"/>
        </w:rPr>
        <w:t> </w:t>
      </w:r>
      <w:r>
        <w:rPr>
          <w:rFonts w:ascii="Arial" w:hAnsi="Arial" w:cs="Arial"/>
          <w:color w:val="333333"/>
        </w:rPr>
        <w:t>国家机关及其工作人员未按照本条例履行职责或者有其他滥用职权、玩忽职守、徇私舞弊行为，尚不构成犯罪的，对直接负责的主管人员和其他直接责任人员依法给予处分。</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第三十九条</w:t>
      </w:r>
      <w:r>
        <w:rPr>
          <w:rFonts w:ascii="Arial" w:hAnsi="Arial" w:cs="Arial"/>
          <w:color w:val="333333"/>
        </w:rPr>
        <w:t> </w:t>
      </w:r>
      <w:r>
        <w:rPr>
          <w:rFonts w:ascii="Arial" w:hAnsi="Arial" w:cs="Arial"/>
          <w:color w:val="333333"/>
        </w:rPr>
        <w:t> </w:t>
      </w:r>
      <w:r>
        <w:rPr>
          <w:rFonts w:ascii="Arial" w:hAnsi="Arial" w:cs="Arial"/>
          <w:color w:val="333333"/>
        </w:rPr>
        <w:t>违反本条例规定的行为，法律、法规有处罚规定的，从其规定。</w:t>
      </w:r>
    </w:p>
    <w:p w:rsidR="003E2066" w:rsidRDefault="003E2066" w:rsidP="003E2066">
      <w:pPr>
        <w:pStyle w:val="a7"/>
        <w:shd w:val="clear" w:color="auto" w:fill="FFFFFF"/>
        <w:spacing w:before="24" w:beforeAutospacing="0" w:after="24" w:afterAutospacing="0" w:line="480" w:lineRule="atLeast"/>
        <w:jc w:val="center"/>
        <w:rPr>
          <w:rFonts w:ascii="Arial" w:hAnsi="Arial" w:cs="Arial"/>
          <w:color w:val="333333"/>
        </w:rPr>
      </w:pPr>
      <w:r>
        <w:rPr>
          <w:rFonts w:ascii="Arial" w:hAnsi="Arial" w:cs="Arial"/>
          <w:color w:val="333333"/>
        </w:rPr>
        <w:t>第八章</w:t>
      </w:r>
      <w:r>
        <w:rPr>
          <w:rFonts w:ascii="Arial" w:hAnsi="Arial" w:cs="Arial"/>
          <w:color w:val="333333"/>
        </w:rPr>
        <w:t> </w:t>
      </w:r>
      <w:r>
        <w:rPr>
          <w:rFonts w:ascii="Arial" w:hAnsi="Arial" w:cs="Arial"/>
          <w:color w:val="333333"/>
        </w:rPr>
        <w:t xml:space="preserve">　附</w:t>
      </w:r>
      <w:r>
        <w:rPr>
          <w:rFonts w:ascii="Arial" w:hAnsi="Arial" w:cs="Arial"/>
          <w:color w:val="333333"/>
        </w:rPr>
        <w:t> </w:t>
      </w:r>
      <w:r>
        <w:rPr>
          <w:rFonts w:ascii="Arial" w:hAnsi="Arial" w:cs="Arial"/>
          <w:color w:val="333333"/>
        </w:rPr>
        <w:t xml:space="preserve">　则</w:t>
      </w:r>
    </w:p>
    <w:p w:rsidR="003E2066" w:rsidRDefault="003E2066" w:rsidP="003E2066">
      <w:pPr>
        <w:pStyle w:val="a7"/>
        <w:shd w:val="clear" w:color="auto" w:fill="FFFFFF"/>
        <w:spacing w:before="24" w:beforeAutospacing="0" w:after="24" w:afterAutospacing="0" w:line="480" w:lineRule="atLeast"/>
        <w:ind w:firstLine="480"/>
        <w:jc w:val="both"/>
        <w:rPr>
          <w:rFonts w:ascii="Arial" w:hAnsi="Arial" w:cs="Arial"/>
          <w:color w:val="333333"/>
        </w:rPr>
      </w:pPr>
      <w:r>
        <w:rPr>
          <w:rFonts w:ascii="Arial" w:hAnsi="Arial" w:cs="Arial"/>
          <w:color w:val="333333"/>
        </w:rPr>
        <w:t>第四十条</w:t>
      </w:r>
      <w:r>
        <w:rPr>
          <w:rFonts w:ascii="Arial" w:hAnsi="Arial" w:cs="Arial"/>
          <w:color w:val="333333"/>
        </w:rPr>
        <w:t> </w:t>
      </w:r>
      <w:r>
        <w:rPr>
          <w:rFonts w:ascii="Arial" w:hAnsi="Arial" w:cs="Arial"/>
          <w:color w:val="333333"/>
        </w:rPr>
        <w:t> </w:t>
      </w:r>
      <w:r>
        <w:rPr>
          <w:rFonts w:ascii="Arial" w:hAnsi="Arial" w:cs="Arial"/>
          <w:color w:val="333333"/>
        </w:rPr>
        <w:t>本条例自</w:t>
      </w:r>
      <w:r>
        <w:rPr>
          <w:rFonts w:ascii="Arial" w:hAnsi="Arial" w:cs="Arial"/>
          <w:color w:val="333333"/>
        </w:rPr>
        <w:t>2024</w:t>
      </w:r>
      <w:r>
        <w:rPr>
          <w:rFonts w:ascii="Arial" w:hAnsi="Arial" w:cs="Arial"/>
          <w:color w:val="333333"/>
        </w:rPr>
        <w:t>年</w:t>
      </w:r>
      <w:r>
        <w:rPr>
          <w:rFonts w:ascii="Arial" w:hAnsi="Arial" w:cs="Arial"/>
          <w:color w:val="333333"/>
        </w:rPr>
        <w:t>8</w:t>
      </w:r>
      <w:r>
        <w:rPr>
          <w:rFonts w:ascii="Arial" w:hAnsi="Arial" w:cs="Arial"/>
          <w:color w:val="333333"/>
        </w:rPr>
        <w:t>月</w:t>
      </w:r>
      <w:r>
        <w:rPr>
          <w:rFonts w:ascii="Arial" w:hAnsi="Arial" w:cs="Arial"/>
          <w:color w:val="333333"/>
        </w:rPr>
        <w:t>28</w:t>
      </w:r>
      <w:r>
        <w:rPr>
          <w:rFonts w:ascii="Arial" w:hAnsi="Arial" w:cs="Arial"/>
          <w:color w:val="333333"/>
        </w:rPr>
        <w:t>日起施行。</w:t>
      </w:r>
    </w:p>
    <w:p w:rsidR="00724042" w:rsidRPr="003E2066" w:rsidRDefault="00724042"/>
    <w:sectPr w:rsidR="00724042" w:rsidRPr="003E2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54" w:rsidRDefault="00F05E54" w:rsidP="003E2066">
      <w:r>
        <w:separator/>
      </w:r>
    </w:p>
  </w:endnote>
  <w:endnote w:type="continuationSeparator" w:id="0">
    <w:p w:rsidR="00F05E54" w:rsidRDefault="00F05E54" w:rsidP="003E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54" w:rsidRDefault="00F05E54" w:rsidP="003E2066">
      <w:r>
        <w:separator/>
      </w:r>
    </w:p>
  </w:footnote>
  <w:footnote w:type="continuationSeparator" w:id="0">
    <w:p w:rsidR="00F05E54" w:rsidRDefault="00F05E54" w:rsidP="003E2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66"/>
    <w:rsid w:val="003E2066"/>
    <w:rsid w:val="00724042"/>
    <w:rsid w:val="007F5459"/>
    <w:rsid w:val="00AA7B66"/>
    <w:rsid w:val="00C666BD"/>
    <w:rsid w:val="00F0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E913"/>
  <w15:chartTrackingRefBased/>
  <w15:docId w15:val="{0FE5B248-70D4-4C67-B68D-1BB8B2E8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0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2066"/>
    <w:rPr>
      <w:sz w:val="18"/>
      <w:szCs w:val="18"/>
    </w:rPr>
  </w:style>
  <w:style w:type="paragraph" w:styleId="a5">
    <w:name w:val="footer"/>
    <w:basedOn w:val="a"/>
    <w:link w:val="a6"/>
    <w:uiPriority w:val="99"/>
    <w:unhideWhenUsed/>
    <w:rsid w:val="003E2066"/>
    <w:pPr>
      <w:tabs>
        <w:tab w:val="center" w:pos="4153"/>
        <w:tab w:val="right" w:pos="8306"/>
      </w:tabs>
      <w:snapToGrid w:val="0"/>
      <w:jc w:val="left"/>
    </w:pPr>
    <w:rPr>
      <w:sz w:val="18"/>
      <w:szCs w:val="18"/>
    </w:rPr>
  </w:style>
  <w:style w:type="character" w:customStyle="1" w:styleId="a6">
    <w:name w:val="页脚 字符"/>
    <w:basedOn w:val="a0"/>
    <w:link w:val="a5"/>
    <w:uiPriority w:val="99"/>
    <w:rsid w:val="003E2066"/>
    <w:rPr>
      <w:sz w:val="18"/>
      <w:szCs w:val="18"/>
    </w:rPr>
  </w:style>
  <w:style w:type="paragraph" w:styleId="a7">
    <w:name w:val="Normal (Web)"/>
    <w:basedOn w:val="a"/>
    <w:uiPriority w:val="99"/>
    <w:semiHidden/>
    <w:unhideWhenUsed/>
    <w:rsid w:val="003E206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E2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2024-08-04T08:16:00Z</dcterms:created>
  <dcterms:modified xsi:type="dcterms:W3CDTF">2024-08-04T08:18:00Z</dcterms:modified>
</cp:coreProperties>
</file>