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690F7" w14:textId="77777777" w:rsidR="00612803" w:rsidRPr="005A003E" w:rsidRDefault="00612803" w:rsidP="00612803">
      <w:pPr>
        <w:pStyle w:val="a5"/>
        <w:rPr>
          <w:rFonts w:asciiTheme="majorEastAsia" w:eastAsiaTheme="majorEastAsia" w:hAnsiTheme="majorEastAsia"/>
          <w:sz w:val="32"/>
          <w:szCs w:val="28"/>
        </w:rPr>
      </w:pPr>
      <w:r w:rsidRPr="005A003E">
        <w:rPr>
          <w:rFonts w:asciiTheme="majorEastAsia" w:eastAsiaTheme="majorEastAsia" w:hAnsiTheme="majorEastAsia" w:hint="eastAsia"/>
          <w:sz w:val="32"/>
          <w:szCs w:val="28"/>
        </w:rPr>
        <w:t>城市数字公共基础设施标准体系</w:t>
      </w:r>
    </w:p>
    <w:p w14:paraId="25E16418" w14:textId="77777777" w:rsidR="004F1074" w:rsidRPr="009066B8" w:rsidRDefault="004F1074" w:rsidP="004F1074">
      <w:pPr>
        <w:rPr>
          <w:rFonts w:hint="eastAsia"/>
          <w:sz w:val="24"/>
          <w:szCs w:val="20"/>
        </w:rPr>
      </w:pPr>
    </w:p>
    <w:p w14:paraId="3D244300"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建设城市数字公共基础设施是发展数字经济、建设数字社会的基石，是城市提升政务协同能力、产业发展质效和民生服务水平的有效路径。为统筹城市数字公共基础设施建设，以城市提质增效为引领，构建城市数字化、网络化、智能化发展的公共性、集约性的数字公共基础设施体系，夯实数字城市与新型智慧城市的公共基础底座，为城市实现数字化转型发展提供统一数字底座，并对接底座一体化推进城市数字应用体系建设，制定本标准体系。</w:t>
      </w:r>
    </w:p>
    <w:p w14:paraId="332B26C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一、基本要求</w:t>
      </w:r>
    </w:p>
    <w:p w14:paraId="197C4B1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（一）指导思想</w:t>
      </w:r>
    </w:p>
    <w:p w14:paraId="505A335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坚持以习近平新时代中国特色社会主义思想为指导，全面贯彻落实党的二十大和二十届二中、三中全会精神，落实《中华人民共和国国民经济和社会发展第十四个五年规划和2035年远景目标纲要》、《“十四五”推进国家政务信息化规划》、《国家标准化发展纲要》等有关要求，完整准确全面贯彻新发展理念，坚持以技术创新驱动为核心，以“新城建”对接“新基建”，明确城市数字公共基础设施标准体系框架，加快推进我国城市数字公共基础设施建设，持续提升城市治理体系和治理能力现代化水平，全面推动构建城市发展新格局。</w:t>
      </w:r>
    </w:p>
    <w:p w14:paraId="2F702CA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（二）基本原则</w:t>
      </w:r>
    </w:p>
    <w:p w14:paraId="7D6CF3C7"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明确需求，统筹规划。结合城市数字公共基础设施建设实践，系统梳理城市数字公共基础设施标准化建设需求和现有相关标准，统筹推进城市数字公共基础设施标准化工作。</w:t>
      </w:r>
    </w:p>
    <w:p w14:paraId="57D10A9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借鉴先进，按需补充。借鉴智慧城市相关国际标准，优先采用已有的国际国内标准，结合实际需求进行适当的补充和完善。</w:t>
      </w:r>
    </w:p>
    <w:p w14:paraId="098FE88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注重实践，重点突破。标准编制要突出优势，注重实践，重点关注城市数字公共基础设施关键急需标准先行研制。</w:t>
      </w:r>
    </w:p>
    <w:p w14:paraId="70D90458"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lastRenderedPageBreak/>
        <w:t xml:space="preserve">　　层次适当，注重实施。把握城市数字公共基础设施跨行业、跨领域等特点，标准编制</w:t>
      </w:r>
      <w:proofErr w:type="gramStart"/>
      <w:r w:rsidRPr="009066B8">
        <w:rPr>
          <w:rFonts w:asciiTheme="majorEastAsia" w:eastAsiaTheme="majorEastAsia" w:hAnsiTheme="majorEastAsia" w:hint="eastAsia"/>
          <w:sz w:val="21"/>
          <w:szCs w:val="16"/>
        </w:rPr>
        <w:t>应结构</w:t>
      </w:r>
      <w:proofErr w:type="gramEnd"/>
      <w:r w:rsidRPr="009066B8">
        <w:rPr>
          <w:rFonts w:asciiTheme="majorEastAsia" w:eastAsiaTheme="majorEastAsia" w:hAnsiTheme="majorEastAsia" w:hint="eastAsia"/>
          <w:sz w:val="21"/>
          <w:szCs w:val="16"/>
        </w:rPr>
        <w:t>清晰、内容合理，与已有的相关标准保持架构、层次、详略程度等协调一致，注重标准体系的引领性作用，切实引导标准编制和实施。</w:t>
      </w:r>
    </w:p>
    <w:p w14:paraId="50889AB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二、标准体系</w:t>
      </w:r>
    </w:p>
    <w:p w14:paraId="23A4CE07"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按照数字中国建设整体布局规划提出的整体框架及《智慧城市 技术参考模型》（GB/T34678-2017）提出的业务框架，结合新型城市基础设施建设试点实践，提出以城市数字公共基础设施为基础的数字</w:t>
      </w:r>
      <w:proofErr w:type="gramStart"/>
      <w:r w:rsidRPr="009066B8">
        <w:rPr>
          <w:rFonts w:asciiTheme="majorEastAsia" w:eastAsiaTheme="majorEastAsia" w:hAnsiTheme="majorEastAsia" w:hint="eastAsia"/>
          <w:sz w:val="21"/>
          <w:szCs w:val="16"/>
        </w:rPr>
        <w:t>孪生城市</w:t>
      </w:r>
      <w:proofErr w:type="gramEnd"/>
      <w:r w:rsidRPr="009066B8">
        <w:rPr>
          <w:rFonts w:asciiTheme="majorEastAsia" w:eastAsiaTheme="majorEastAsia" w:hAnsiTheme="majorEastAsia" w:hint="eastAsia"/>
          <w:sz w:val="21"/>
          <w:szCs w:val="16"/>
        </w:rPr>
        <w:t>建设框架（如图1所示），基于此框架，构建城市数字公共基础设施标准体系框架（如图2所示）。</w:t>
      </w:r>
    </w:p>
    <w:p w14:paraId="0480B112" w14:textId="2522F7B7" w:rsidR="00612803" w:rsidRPr="009066B8" w:rsidRDefault="00612803" w:rsidP="00612803">
      <w:pPr>
        <w:spacing w:line="240" w:lineRule="auto"/>
        <w:rPr>
          <w:rFonts w:asciiTheme="majorEastAsia" w:eastAsiaTheme="majorEastAsia" w:hAnsiTheme="majorEastAsia" w:hint="eastAsia"/>
          <w:sz w:val="21"/>
          <w:szCs w:val="16"/>
        </w:rPr>
      </w:pPr>
      <w:r w:rsidRPr="009066B8">
        <w:rPr>
          <w:rFonts w:asciiTheme="majorEastAsia" w:eastAsiaTheme="majorEastAsia" w:hAnsiTheme="majorEastAsia" w:hint="eastAsia"/>
          <w:noProof/>
          <w:sz w:val="21"/>
          <w:szCs w:val="16"/>
        </w:rPr>
        <w:drawing>
          <wp:inline distT="0" distB="0" distL="0" distR="0" wp14:anchorId="75205527" wp14:editId="1F9152D2">
            <wp:extent cx="5274310" cy="3264535"/>
            <wp:effectExtent l="0" t="0" r="2540" b="0"/>
            <wp:docPr id="208130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264535"/>
                    </a:xfrm>
                    <a:prstGeom prst="rect">
                      <a:avLst/>
                    </a:prstGeom>
                    <a:noFill/>
                    <a:ln>
                      <a:noFill/>
                    </a:ln>
                  </pic:spPr>
                </pic:pic>
              </a:graphicData>
            </a:graphic>
          </wp:inline>
        </w:drawing>
      </w:r>
      <w:r w:rsidRPr="009066B8">
        <w:rPr>
          <w:rFonts w:asciiTheme="majorEastAsia" w:eastAsiaTheme="majorEastAsia" w:hAnsiTheme="majorEastAsia" w:hint="eastAsia"/>
          <w:sz w:val="21"/>
          <w:szCs w:val="16"/>
        </w:rPr>
        <w:br/>
        <w:t>图1　数字</w:t>
      </w:r>
      <w:proofErr w:type="gramStart"/>
      <w:r w:rsidRPr="009066B8">
        <w:rPr>
          <w:rFonts w:asciiTheme="majorEastAsia" w:eastAsiaTheme="majorEastAsia" w:hAnsiTheme="majorEastAsia" w:hint="eastAsia"/>
          <w:sz w:val="21"/>
          <w:szCs w:val="16"/>
        </w:rPr>
        <w:t>孪生城市</w:t>
      </w:r>
      <w:proofErr w:type="gramEnd"/>
      <w:r w:rsidRPr="009066B8">
        <w:rPr>
          <w:rFonts w:asciiTheme="majorEastAsia" w:eastAsiaTheme="majorEastAsia" w:hAnsiTheme="majorEastAsia" w:hint="eastAsia"/>
          <w:sz w:val="21"/>
          <w:szCs w:val="16"/>
        </w:rPr>
        <w:t>建设框架</w:t>
      </w:r>
    </w:p>
    <w:p w14:paraId="5815C0C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（一）体系框架</w:t>
      </w:r>
    </w:p>
    <w:p w14:paraId="55925A5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城市数字公共基础设施标准体系框架描述了标准体系的基本组成单元，包括基础通用、网络基础设施、</w:t>
      </w:r>
      <w:proofErr w:type="gramStart"/>
      <w:r w:rsidRPr="009066B8">
        <w:rPr>
          <w:rFonts w:asciiTheme="majorEastAsia" w:eastAsiaTheme="majorEastAsia" w:hAnsiTheme="majorEastAsia" w:hint="eastAsia"/>
          <w:sz w:val="21"/>
          <w:szCs w:val="16"/>
        </w:rPr>
        <w:t>算力基础</w:t>
      </w:r>
      <w:proofErr w:type="gramEnd"/>
      <w:r w:rsidRPr="009066B8">
        <w:rPr>
          <w:rFonts w:asciiTheme="majorEastAsia" w:eastAsiaTheme="majorEastAsia" w:hAnsiTheme="majorEastAsia" w:hint="eastAsia"/>
          <w:sz w:val="21"/>
          <w:szCs w:val="16"/>
        </w:rPr>
        <w:t>设施、感知基础设施、融合基础设施、公共数字底座、应用支撑、建设与运营、安全与保障等九类标准规范，如图2所示。</w:t>
      </w:r>
    </w:p>
    <w:p w14:paraId="6AA02AE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标准体系框架中各子系统标准共同构成城市数字公共基础设施的一体化标准，各子系统标准间相互关联，保障城市数字公共基础设施发挥出高效、智能、绿色的综合效能。</w:t>
      </w:r>
    </w:p>
    <w:p w14:paraId="1D9A7FFD" w14:textId="01DD80EA" w:rsidR="00612803" w:rsidRPr="009066B8" w:rsidRDefault="00612803" w:rsidP="00612803">
      <w:pPr>
        <w:spacing w:line="240" w:lineRule="auto"/>
        <w:rPr>
          <w:rFonts w:asciiTheme="majorEastAsia" w:eastAsiaTheme="majorEastAsia" w:hAnsiTheme="majorEastAsia" w:hint="eastAsia"/>
          <w:sz w:val="21"/>
          <w:szCs w:val="16"/>
        </w:rPr>
      </w:pPr>
      <w:r w:rsidRPr="009066B8">
        <w:rPr>
          <w:rFonts w:asciiTheme="majorEastAsia" w:eastAsiaTheme="majorEastAsia" w:hAnsiTheme="majorEastAsia" w:hint="eastAsia"/>
          <w:noProof/>
          <w:sz w:val="21"/>
          <w:szCs w:val="16"/>
        </w:rPr>
        <w:lastRenderedPageBreak/>
        <w:drawing>
          <wp:inline distT="0" distB="0" distL="0" distR="0" wp14:anchorId="746FB16D" wp14:editId="16883171">
            <wp:extent cx="5274310" cy="1243965"/>
            <wp:effectExtent l="0" t="0" r="2540" b="0"/>
            <wp:docPr id="469567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243965"/>
                    </a:xfrm>
                    <a:prstGeom prst="rect">
                      <a:avLst/>
                    </a:prstGeom>
                    <a:noFill/>
                    <a:ln>
                      <a:noFill/>
                    </a:ln>
                  </pic:spPr>
                </pic:pic>
              </a:graphicData>
            </a:graphic>
          </wp:inline>
        </w:drawing>
      </w:r>
      <w:r w:rsidRPr="009066B8">
        <w:rPr>
          <w:rFonts w:asciiTheme="majorEastAsia" w:eastAsiaTheme="majorEastAsia" w:hAnsiTheme="majorEastAsia" w:hint="eastAsia"/>
          <w:sz w:val="21"/>
          <w:szCs w:val="16"/>
        </w:rPr>
        <w:br/>
        <w:t>图2　城市数字公共基础设施标准体系框架</w:t>
      </w:r>
    </w:p>
    <w:p w14:paraId="4B2CDCD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（二）体系内容</w:t>
      </w:r>
    </w:p>
    <w:p w14:paraId="1321B67F"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1.基础通用</w:t>
      </w:r>
    </w:p>
    <w:p w14:paraId="0F62E00F"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基础通用标准是城市数字公共基础设施的基础性标准和规范，既可以在城市数字公共基础设施的整体及专项项目规划、建设、实施、运营等过程中发挥指导性和引领性作用，也可以为其标准的规划及制定提供技术依据和方向参考。基础通用标准包括通用要求、管理要求和其他3个子类标准。</w:t>
      </w:r>
    </w:p>
    <w:p w14:paraId="5F3A629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（1）通用要求</w:t>
      </w:r>
    </w:p>
    <w:p w14:paraId="5DE4E4B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规范城市数字公共基础设施的通用要求，包括架构、功能、性能、可靠性及各类基本规则等。</w:t>
      </w:r>
    </w:p>
    <w:p w14:paraId="3128151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（2）管理要求</w:t>
      </w:r>
    </w:p>
    <w:p w14:paraId="69BE7C9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规范城市数字公共基础设施在应用及维护中的管理要求，包括城市数字公共基础设施的维护、组织人员、配置资源、控制执行、绩效评估等方面要求。</w:t>
      </w:r>
    </w:p>
    <w:p w14:paraId="4BBF314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（3）其他</w:t>
      </w:r>
    </w:p>
    <w:p w14:paraId="00D365D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规范基础通用相关的其他方面要求。</w:t>
      </w:r>
    </w:p>
    <w:p w14:paraId="48F791A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2.网络基础设施</w:t>
      </w:r>
    </w:p>
    <w:p w14:paraId="5C9C4AC7"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规范城市数字公共基础设施建设中用到的网络基础设施类标准，包括移动网络、宽带光纤网络、地面无线与卫星通信网络和其他4个子类标准。</w:t>
      </w:r>
    </w:p>
    <w:p w14:paraId="72ED8AAF"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（1）移动网络</w:t>
      </w:r>
    </w:p>
    <w:p w14:paraId="1DEE45FA"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规范移动网络（含低功耗广域网）基础设施统一的技术规范，对移动网络的使用、基</w:t>
      </w:r>
      <w:r w:rsidRPr="009066B8">
        <w:rPr>
          <w:rFonts w:asciiTheme="majorEastAsia" w:eastAsiaTheme="majorEastAsia" w:hAnsiTheme="majorEastAsia" w:hint="eastAsia"/>
          <w:sz w:val="21"/>
          <w:szCs w:val="16"/>
        </w:rPr>
        <w:lastRenderedPageBreak/>
        <w:t>站覆盖率、移动网络平均下载速率提出要求，用于推进中心城区和重点人流密集地区无线网络的深度覆盖。</w:t>
      </w:r>
    </w:p>
    <w:p w14:paraId="58FF3899"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（2）宽带光纤网络</w:t>
      </w:r>
    </w:p>
    <w:p w14:paraId="522B28F0"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规范千兆、万兆宽带光网基础设施的统一技术要求，对网络覆盖提出要求，实现家庭与城市重点场所的覆盖。</w:t>
      </w:r>
    </w:p>
    <w:p w14:paraId="5CCE537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（3）地面无线与卫星通信网络</w:t>
      </w:r>
    </w:p>
    <w:p w14:paraId="72657CC8"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规范地面无线与卫星通信网络的统一技术要求，用于布局和建设全球高通量宽带卫星通信系统、北斗地基增强系统等新型信息应用基础设施，推动空天地一体化信息网络融合发展。</w:t>
      </w:r>
    </w:p>
    <w:p w14:paraId="3A710276"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（4）其他</w:t>
      </w:r>
    </w:p>
    <w:p w14:paraId="1C7841CF"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规范网络基础设施相关的其他方面要求。</w:t>
      </w:r>
    </w:p>
    <w:p w14:paraId="4C816CFA"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w:t>
      </w:r>
      <w:proofErr w:type="gramStart"/>
      <w:r w:rsidRPr="009066B8">
        <w:rPr>
          <w:rFonts w:asciiTheme="majorEastAsia" w:eastAsiaTheme="majorEastAsia" w:hAnsiTheme="majorEastAsia" w:hint="eastAsia"/>
          <w:b/>
          <w:bCs/>
          <w:sz w:val="21"/>
          <w:szCs w:val="16"/>
        </w:rPr>
        <w:t>算力基础</w:t>
      </w:r>
      <w:proofErr w:type="gramEnd"/>
      <w:r w:rsidRPr="009066B8">
        <w:rPr>
          <w:rFonts w:asciiTheme="majorEastAsia" w:eastAsiaTheme="majorEastAsia" w:hAnsiTheme="majorEastAsia" w:hint="eastAsia"/>
          <w:b/>
          <w:bCs/>
          <w:sz w:val="21"/>
          <w:szCs w:val="16"/>
        </w:rPr>
        <w:t>设施</w:t>
      </w:r>
    </w:p>
    <w:p w14:paraId="1C3E974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规范数据中心、</w:t>
      </w:r>
      <w:proofErr w:type="gramStart"/>
      <w:r w:rsidRPr="009066B8">
        <w:rPr>
          <w:rFonts w:asciiTheme="majorEastAsia" w:eastAsiaTheme="majorEastAsia" w:hAnsiTheme="majorEastAsia" w:hint="eastAsia"/>
          <w:sz w:val="21"/>
          <w:szCs w:val="16"/>
        </w:rPr>
        <w:t>智算中心</w:t>
      </w:r>
      <w:proofErr w:type="gramEnd"/>
      <w:r w:rsidRPr="009066B8">
        <w:rPr>
          <w:rFonts w:asciiTheme="majorEastAsia" w:eastAsiaTheme="majorEastAsia" w:hAnsiTheme="majorEastAsia" w:hint="eastAsia"/>
          <w:sz w:val="21"/>
          <w:szCs w:val="16"/>
        </w:rPr>
        <w:t>、</w:t>
      </w:r>
      <w:proofErr w:type="gramStart"/>
      <w:r w:rsidRPr="009066B8">
        <w:rPr>
          <w:rFonts w:asciiTheme="majorEastAsia" w:eastAsiaTheme="majorEastAsia" w:hAnsiTheme="majorEastAsia" w:hint="eastAsia"/>
          <w:sz w:val="21"/>
          <w:szCs w:val="16"/>
        </w:rPr>
        <w:t>超算中心</w:t>
      </w:r>
      <w:proofErr w:type="gramEnd"/>
      <w:r w:rsidRPr="009066B8">
        <w:rPr>
          <w:rFonts w:asciiTheme="majorEastAsia" w:eastAsiaTheme="majorEastAsia" w:hAnsiTheme="majorEastAsia" w:hint="eastAsia"/>
          <w:sz w:val="21"/>
          <w:szCs w:val="16"/>
        </w:rPr>
        <w:t>、边缘计算中心所需的计算、存储、处理等相关技术要求，包括数据中心、</w:t>
      </w:r>
      <w:proofErr w:type="gramStart"/>
      <w:r w:rsidRPr="009066B8">
        <w:rPr>
          <w:rFonts w:asciiTheme="majorEastAsia" w:eastAsiaTheme="majorEastAsia" w:hAnsiTheme="majorEastAsia" w:hint="eastAsia"/>
          <w:sz w:val="21"/>
          <w:szCs w:val="16"/>
        </w:rPr>
        <w:t>智算中心</w:t>
      </w:r>
      <w:proofErr w:type="gramEnd"/>
      <w:r w:rsidRPr="009066B8">
        <w:rPr>
          <w:rFonts w:asciiTheme="majorEastAsia" w:eastAsiaTheme="majorEastAsia" w:hAnsiTheme="majorEastAsia" w:hint="eastAsia"/>
          <w:sz w:val="21"/>
          <w:szCs w:val="16"/>
        </w:rPr>
        <w:t>、</w:t>
      </w:r>
      <w:proofErr w:type="gramStart"/>
      <w:r w:rsidRPr="009066B8">
        <w:rPr>
          <w:rFonts w:asciiTheme="majorEastAsia" w:eastAsiaTheme="majorEastAsia" w:hAnsiTheme="majorEastAsia" w:hint="eastAsia"/>
          <w:sz w:val="21"/>
          <w:szCs w:val="16"/>
        </w:rPr>
        <w:t>超算中心</w:t>
      </w:r>
      <w:proofErr w:type="gramEnd"/>
      <w:r w:rsidRPr="009066B8">
        <w:rPr>
          <w:rFonts w:asciiTheme="majorEastAsia" w:eastAsiaTheme="majorEastAsia" w:hAnsiTheme="majorEastAsia" w:hint="eastAsia"/>
          <w:sz w:val="21"/>
          <w:szCs w:val="16"/>
        </w:rPr>
        <w:t>、边缘计算中心和其他5个子类标准。</w:t>
      </w:r>
    </w:p>
    <w:p w14:paraId="283F2EB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（1）数据中心</w:t>
      </w:r>
    </w:p>
    <w:p w14:paraId="1AEF7F0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规范数据中心标准，包括绿色数据中心设施、数据中心综合电能利用效率（PUE）值等标准。</w:t>
      </w:r>
    </w:p>
    <w:p w14:paraId="70E97FB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w:t>
      </w:r>
      <w:proofErr w:type="gramStart"/>
      <w:r w:rsidRPr="009066B8">
        <w:rPr>
          <w:rFonts w:asciiTheme="majorEastAsia" w:eastAsiaTheme="majorEastAsia" w:hAnsiTheme="majorEastAsia" w:hint="eastAsia"/>
          <w:b/>
          <w:bCs/>
          <w:sz w:val="21"/>
          <w:szCs w:val="16"/>
        </w:rPr>
        <w:t>智算中心</w:t>
      </w:r>
      <w:proofErr w:type="gramEnd"/>
    </w:p>
    <w:p w14:paraId="48D49A1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w:t>
      </w:r>
      <w:proofErr w:type="gramStart"/>
      <w:r w:rsidRPr="009066B8">
        <w:rPr>
          <w:rFonts w:asciiTheme="majorEastAsia" w:eastAsiaTheme="majorEastAsia" w:hAnsiTheme="majorEastAsia" w:hint="eastAsia"/>
          <w:sz w:val="21"/>
          <w:szCs w:val="16"/>
        </w:rPr>
        <w:t>规范智算中心</w:t>
      </w:r>
      <w:proofErr w:type="gramEnd"/>
      <w:r w:rsidRPr="009066B8">
        <w:rPr>
          <w:rFonts w:asciiTheme="majorEastAsia" w:eastAsiaTheme="majorEastAsia" w:hAnsiTheme="majorEastAsia" w:hint="eastAsia"/>
          <w:sz w:val="21"/>
          <w:szCs w:val="16"/>
        </w:rPr>
        <w:t>标准，包括智能化、数据处理能力等标准。</w:t>
      </w:r>
    </w:p>
    <w:p w14:paraId="1F27664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w:t>
      </w:r>
      <w:proofErr w:type="gramStart"/>
      <w:r w:rsidRPr="009066B8">
        <w:rPr>
          <w:rFonts w:asciiTheme="majorEastAsia" w:eastAsiaTheme="majorEastAsia" w:hAnsiTheme="majorEastAsia" w:hint="eastAsia"/>
          <w:b/>
          <w:bCs/>
          <w:sz w:val="21"/>
          <w:szCs w:val="16"/>
        </w:rPr>
        <w:t>超算中心</w:t>
      </w:r>
      <w:proofErr w:type="gramEnd"/>
    </w:p>
    <w:p w14:paraId="458A8A8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w:t>
      </w:r>
      <w:proofErr w:type="gramStart"/>
      <w:r w:rsidRPr="009066B8">
        <w:rPr>
          <w:rFonts w:asciiTheme="majorEastAsia" w:eastAsiaTheme="majorEastAsia" w:hAnsiTheme="majorEastAsia" w:hint="eastAsia"/>
          <w:sz w:val="21"/>
          <w:szCs w:val="16"/>
        </w:rPr>
        <w:t>规范超算</w:t>
      </w:r>
      <w:proofErr w:type="gramEnd"/>
      <w:r w:rsidRPr="009066B8">
        <w:rPr>
          <w:rFonts w:asciiTheme="majorEastAsia" w:eastAsiaTheme="majorEastAsia" w:hAnsiTheme="majorEastAsia" w:hint="eastAsia"/>
          <w:sz w:val="21"/>
          <w:szCs w:val="16"/>
        </w:rPr>
        <w:t>中心标准，包括算法数量</w:t>
      </w:r>
      <w:proofErr w:type="gramStart"/>
      <w:r w:rsidRPr="009066B8">
        <w:rPr>
          <w:rFonts w:asciiTheme="majorEastAsia" w:eastAsiaTheme="majorEastAsia" w:hAnsiTheme="majorEastAsia" w:hint="eastAsia"/>
          <w:sz w:val="21"/>
          <w:szCs w:val="16"/>
        </w:rPr>
        <w:t>及算力规模</w:t>
      </w:r>
      <w:proofErr w:type="gramEnd"/>
      <w:r w:rsidRPr="009066B8">
        <w:rPr>
          <w:rFonts w:asciiTheme="majorEastAsia" w:eastAsiaTheme="majorEastAsia" w:hAnsiTheme="majorEastAsia" w:hint="eastAsia"/>
          <w:sz w:val="21"/>
          <w:szCs w:val="16"/>
        </w:rPr>
        <w:t>等标准。</w:t>
      </w:r>
    </w:p>
    <w:p w14:paraId="6EF2333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（4）边缘计算中心</w:t>
      </w:r>
    </w:p>
    <w:p w14:paraId="5CA49A3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规范边缘计算中心标准，包括边缘数据采集与处理、边缘设备、边缘平台、边缘智能、边云协同、</w:t>
      </w:r>
      <w:proofErr w:type="gramStart"/>
      <w:r w:rsidRPr="009066B8">
        <w:rPr>
          <w:rFonts w:asciiTheme="majorEastAsia" w:eastAsiaTheme="majorEastAsia" w:hAnsiTheme="majorEastAsia" w:hint="eastAsia"/>
          <w:sz w:val="21"/>
          <w:szCs w:val="16"/>
        </w:rPr>
        <w:t>算力网络</w:t>
      </w:r>
      <w:proofErr w:type="gramEnd"/>
      <w:r w:rsidRPr="009066B8">
        <w:rPr>
          <w:rFonts w:asciiTheme="majorEastAsia" w:eastAsiaTheme="majorEastAsia" w:hAnsiTheme="majorEastAsia" w:hint="eastAsia"/>
          <w:sz w:val="21"/>
          <w:szCs w:val="16"/>
        </w:rPr>
        <w:t>等标准。</w:t>
      </w:r>
    </w:p>
    <w:p w14:paraId="31BC9E39"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lastRenderedPageBreak/>
        <w:t xml:space="preserve">　　（5）其他</w:t>
      </w:r>
    </w:p>
    <w:p w14:paraId="2C0EC8A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w:t>
      </w:r>
      <w:proofErr w:type="gramStart"/>
      <w:r w:rsidRPr="009066B8">
        <w:rPr>
          <w:rFonts w:asciiTheme="majorEastAsia" w:eastAsiaTheme="majorEastAsia" w:hAnsiTheme="majorEastAsia" w:hint="eastAsia"/>
          <w:sz w:val="21"/>
          <w:szCs w:val="16"/>
        </w:rPr>
        <w:t>算力基础</w:t>
      </w:r>
      <w:proofErr w:type="gramEnd"/>
      <w:r w:rsidRPr="009066B8">
        <w:rPr>
          <w:rFonts w:asciiTheme="majorEastAsia" w:eastAsiaTheme="majorEastAsia" w:hAnsiTheme="majorEastAsia" w:hint="eastAsia"/>
          <w:sz w:val="21"/>
          <w:szCs w:val="16"/>
        </w:rPr>
        <w:t>设施相关的其他方面要求。</w:t>
      </w:r>
    </w:p>
    <w:p w14:paraId="4E3551C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4.感知基础设施</w:t>
      </w:r>
    </w:p>
    <w:p w14:paraId="6E8E9987"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规范城市数字公共基础设施各类感知数据的采集、处理和互联互通等要求，包括布局原则、影像类感知设施、城市脉搏类感知设施和其他4个子类标准。</w:t>
      </w:r>
    </w:p>
    <w:p w14:paraId="6FA4BB43"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（1）布局原则</w:t>
      </w:r>
    </w:p>
    <w:p w14:paraId="1DB0F6D9"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规范运行感知基础设施的布局原则标准，包括前端感知、边缘计算、接入网关等感知基础设施布局原则标准。</w:t>
      </w:r>
    </w:p>
    <w:p w14:paraId="28FA9FE6"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（2）影像类感知设施</w:t>
      </w:r>
    </w:p>
    <w:p w14:paraId="31D515D2"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规范对物/环境进行视频信息采集和操作的感知设施的标准，包括视频监控、遥感图像等。</w:t>
      </w:r>
    </w:p>
    <w:p w14:paraId="56B2D5E8"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（3）城市脉搏类感知设施</w:t>
      </w:r>
    </w:p>
    <w:p w14:paraId="25C4FD19"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建筑工地、地下管廊、交通设施、河道水库、城市部件（部分）（固定在城市管理公共区域内的城市基础设施）、学校医院、居民小区等场景建设的运行及应急管理、社会治理、安全生产、市场监管等领域的城市脉搏类传感设施。</w:t>
      </w:r>
    </w:p>
    <w:p w14:paraId="112E7D6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（4）其他</w:t>
      </w:r>
    </w:p>
    <w:p w14:paraId="3F8E942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规范感知基础设施相关的其他方面要求。</w:t>
      </w:r>
    </w:p>
    <w:p w14:paraId="5BD6F9B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5.融合基础设施</w:t>
      </w:r>
    </w:p>
    <w:p w14:paraId="6137590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规范融合基础设施数字化、智能化建设标准，包括建筑、市政、交通、水利/水务、能源和其他领域公共基础设施数字化、智能化建设6个子类标准。</w:t>
      </w:r>
    </w:p>
    <w:p w14:paraId="235FDA3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（1）建筑领域公共基础设施</w:t>
      </w:r>
    </w:p>
    <w:p w14:paraId="2F43DE1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规范建筑领域数字化、智能化建设和改造标准，包括建筑环境健康监测、能耗监测、碳排放、消防设备、设施设备等领域的基础设施建设标准。</w:t>
      </w:r>
    </w:p>
    <w:p w14:paraId="59AC6F06"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（2）市政领域公共基础设施</w:t>
      </w:r>
    </w:p>
    <w:p w14:paraId="472C226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lastRenderedPageBreak/>
        <w:t xml:space="preserve">　　规范市政基础设施数字化、智能化建设与改造标准，包括感知管理服务平台建设、运营管理中心建设、全面感知和自动采集率、综合管廊的智能化等建设标准。</w:t>
      </w:r>
    </w:p>
    <w:p w14:paraId="032FBDFB"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（3）交通领域公共基础设施</w:t>
      </w:r>
    </w:p>
    <w:p w14:paraId="5997F862"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规范交通领域数字化、智能化建设和改造标准，包括城市道路设施、交通设施、交通安全管理设施等基础设施，以及配套智能感知系统的建设标准。</w:t>
      </w:r>
    </w:p>
    <w:p w14:paraId="3620BC4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（4）水利/水务领域公共基础设施</w:t>
      </w:r>
    </w:p>
    <w:p w14:paraId="20E3666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规范水利/水务领域数字化、智能化建设和改造运行标准，包括防洪重点河段、敏感河段、湖泊及水利设施的监测设施。</w:t>
      </w:r>
    </w:p>
    <w:p w14:paraId="4EDD48C0"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（5）能源领域公共基础设施</w:t>
      </w:r>
    </w:p>
    <w:p w14:paraId="1A3CCFD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规范能源领域数字化、智能化建设和改造标准，包括能源设施智能化改造、智能电表、汽车充电等基础设施建设标准。</w:t>
      </w:r>
    </w:p>
    <w:p w14:paraId="29FDEF4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（6）其他</w:t>
      </w:r>
    </w:p>
    <w:p w14:paraId="0DD23D69"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规范融合基础设施相关的其他方面要求。</w:t>
      </w:r>
    </w:p>
    <w:p w14:paraId="558A8FDA"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6.公共数字底座</w:t>
      </w:r>
    </w:p>
    <w:p w14:paraId="3FBD8C9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基于统一编码与时空定位，以城市信息模型（CIM）为空间架构，按照统一标准地址对城市实有建筑（房屋）、实有单位、实有人口（“</w:t>
      </w:r>
      <w:proofErr w:type="gramStart"/>
      <w:r w:rsidRPr="009066B8">
        <w:rPr>
          <w:rFonts w:asciiTheme="majorEastAsia" w:eastAsiaTheme="majorEastAsia" w:hAnsiTheme="majorEastAsia" w:hint="eastAsia"/>
          <w:sz w:val="21"/>
          <w:szCs w:val="16"/>
        </w:rPr>
        <w:t>一</w:t>
      </w:r>
      <w:proofErr w:type="gramEnd"/>
      <w:r w:rsidRPr="009066B8">
        <w:rPr>
          <w:rFonts w:asciiTheme="majorEastAsia" w:eastAsiaTheme="majorEastAsia" w:hAnsiTheme="majorEastAsia" w:hint="eastAsia"/>
          <w:sz w:val="21"/>
          <w:szCs w:val="16"/>
        </w:rPr>
        <w:t>标三实”）进行统一的、唯一的永久数字身份编码并基于CIM实现落图，构建物理城市的数字孪生体的公共性、基础性数字底座，包括城市信息模型、“</w:t>
      </w:r>
      <w:proofErr w:type="gramStart"/>
      <w:r w:rsidRPr="009066B8">
        <w:rPr>
          <w:rFonts w:asciiTheme="majorEastAsia" w:eastAsiaTheme="majorEastAsia" w:hAnsiTheme="majorEastAsia" w:hint="eastAsia"/>
          <w:sz w:val="21"/>
          <w:szCs w:val="16"/>
        </w:rPr>
        <w:t>一</w:t>
      </w:r>
      <w:proofErr w:type="gramEnd"/>
      <w:r w:rsidRPr="009066B8">
        <w:rPr>
          <w:rFonts w:asciiTheme="majorEastAsia" w:eastAsiaTheme="majorEastAsia" w:hAnsiTheme="majorEastAsia" w:hint="eastAsia"/>
          <w:sz w:val="21"/>
          <w:szCs w:val="16"/>
        </w:rPr>
        <w:t>标三实”、分类与编码、数据治理和其他5个子类标准。</w:t>
      </w:r>
    </w:p>
    <w:p w14:paraId="65C65F8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（1）城市信息模型</w:t>
      </w:r>
    </w:p>
    <w:p w14:paraId="064AC6F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规范城市信息模型建设标准，包括时空基准、建筑信息模型（BIM）、地理信息系统（GIS）、城市白模、城市高精度模型、地上地下三维模型、时空数据模型、高精地图等建设要求。</w:t>
      </w:r>
    </w:p>
    <w:p w14:paraId="7DC0735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w:t>
      </w:r>
      <w:proofErr w:type="gramStart"/>
      <w:r w:rsidRPr="009066B8">
        <w:rPr>
          <w:rFonts w:asciiTheme="majorEastAsia" w:eastAsiaTheme="majorEastAsia" w:hAnsiTheme="majorEastAsia" w:hint="eastAsia"/>
          <w:b/>
          <w:bCs/>
          <w:sz w:val="21"/>
          <w:szCs w:val="16"/>
        </w:rPr>
        <w:t>一</w:t>
      </w:r>
      <w:proofErr w:type="gramEnd"/>
      <w:r w:rsidRPr="009066B8">
        <w:rPr>
          <w:rFonts w:asciiTheme="majorEastAsia" w:eastAsiaTheme="majorEastAsia" w:hAnsiTheme="majorEastAsia" w:hint="eastAsia"/>
          <w:b/>
          <w:bCs/>
          <w:sz w:val="21"/>
          <w:szCs w:val="16"/>
        </w:rPr>
        <w:t>标三实”</w:t>
      </w:r>
    </w:p>
    <w:p w14:paraId="5B157026"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w:t>
      </w:r>
      <w:proofErr w:type="gramStart"/>
      <w:r w:rsidRPr="009066B8">
        <w:rPr>
          <w:rFonts w:asciiTheme="majorEastAsia" w:eastAsiaTheme="majorEastAsia" w:hAnsiTheme="majorEastAsia" w:hint="eastAsia"/>
          <w:sz w:val="21"/>
          <w:szCs w:val="16"/>
        </w:rPr>
        <w:t>一</w:t>
      </w:r>
      <w:proofErr w:type="gramEnd"/>
      <w:r w:rsidRPr="009066B8">
        <w:rPr>
          <w:rFonts w:asciiTheme="majorEastAsia" w:eastAsiaTheme="majorEastAsia" w:hAnsiTheme="majorEastAsia" w:hint="eastAsia"/>
          <w:sz w:val="21"/>
          <w:szCs w:val="16"/>
        </w:rPr>
        <w:t>标三实”体系建设标准，包括标准地址库、实有人口、实有房屋、实有单位等</w:t>
      </w:r>
      <w:r w:rsidRPr="009066B8">
        <w:rPr>
          <w:rFonts w:asciiTheme="majorEastAsia" w:eastAsiaTheme="majorEastAsia" w:hAnsiTheme="majorEastAsia" w:hint="eastAsia"/>
          <w:sz w:val="21"/>
          <w:szCs w:val="16"/>
        </w:rPr>
        <w:lastRenderedPageBreak/>
        <w:t>要求。</w:t>
      </w:r>
    </w:p>
    <w:p w14:paraId="607C4DC6"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（3）分类与编码</w:t>
      </w:r>
    </w:p>
    <w:p w14:paraId="1BC09B52"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相关的编码定位要求，用于构建实体身份编码，按照统一标准为城市实体对象进行统一标识编码，用于构建统一空间定位体系，为同一对象的坐标检索、图幅检索、网格码检索、地名地址检索等提供一致性检索结果，提升基于公共数字底座的信息系统便捷性与地理检索能力。</w:t>
      </w:r>
    </w:p>
    <w:p w14:paraId="47134BF7"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（4）数据治理</w:t>
      </w:r>
    </w:p>
    <w:p w14:paraId="4A561EE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对构建数据资源体系的数据基础制度、数据汇聚共享、数据分级分类和数据要素价值提出建设要求，规范城市数字公共基础设施数据治理标准，包括城市信息资源目录、元数据、数据格式、数据采集、数据服务、数据更新等。</w:t>
      </w:r>
    </w:p>
    <w:p w14:paraId="64EBFAB3"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（5）其他</w:t>
      </w:r>
    </w:p>
    <w:p w14:paraId="4BFD981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规范公共数字底座相关的其他方面要求。</w:t>
      </w:r>
    </w:p>
    <w:p w14:paraId="5AC190B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7.应用支撑</w:t>
      </w:r>
    </w:p>
    <w:p w14:paraId="4EDA745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为城市数字应用体系提供数据共享、业务协同等支撑服务所使用的接口、中间件等通用工具，包括应用程序编程接口（API）、中间件和其他3个子类标准。</w:t>
      </w:r>
    </w:p>
    <w:p w14:paraId="2DADBA4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（1）应用程序编程接口</w:t>
      </w:r>
    </w:p>
    <w:p w14:paraId="7CCFB74A"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规范城市数字公共基础设施及应用体系间的操作、接入能力等方面要求。</w:t>
      </w:r>
    </w:p>
    <w:p w14:paraId="47B78400"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（2）中间件</w:t>
      </w:r>
    </w:p>
    <w:p w14:paraId="664FC00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规范以城市数字公共基础设施能力为基础，为应用体系提供支持的相关中间件的要求。</w:t>
      </w:r>
    </w:p>
    <w:p w14:paraId="1C879A93"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w:t>
      </w:r>
      <w:r w:rsidRPr="009066B8">
        <w:rPr>
          <w:rFonts w:asciiTheme="majorEastAsia" w:eastAsiaTheme="majorEastAsia" w:hAnsiTheme="majorEastAsia" w:hint="eastAsia"/>
          <w:b/>
          <w:bCs/>
          <w:sz w:val="21"/>
          <w:szCs w:val="16"/>
        </w:rPr>
        <w:t xml:space="preserve">　（3）其他</w:t>
      </w:r>
    </w:p>
    <w:p w14:paraId="1941C9C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规范应用支撑相关的其他方面要求。</w:t>
      </w:r>
    </w:p>
    <w:p w14:paraId="0BE7937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8.建设与运营</w:t>
      </w:r>
    </w:p>
    <w:p w14:paraId="4E12105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为城市数字公共基础设施建设和运营提供技术、方法、流程等方面的指导和参考，包</w:t>
      </w:r>
      <w:r w:rsidRPr="009066B8">
        <w:rPr>
          <w:rFonts w:asciiTheme="majorEastAsia" w:eastAsiaTheme="majorEastAsia" w:hAnsiTheme="majorEastAsia" w:hint="eastAsia"/>
          <w:sz w:val="21"/>
          <w:szCs w:val="16"/>
        </w:rPr>
        <w:lastRenderedPageBreak/>
        <w:t>括部署实施、运营管理、报废销毁和其他4个子类标准。</w:t>
      </w:r>
    </w:p>
    <w:p w14:paraId="2609524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（1）部署实施</w:t>
      </w:r>
    </w:p>
    <w:p w14:paraId="4EA5B5D2"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规范城市数字公共基础设施项目建设部署、实施流程、实施质量、实施风险等要求。</w:t>
      </w:r>
    </w:p>
    <w:p w14:paraId="463D1F31"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w:t>
      </w:r>
      <w:r w:rsidRPr="009066B8">
        <w:rPr>
          <w:rFonts w:asciiTheme="majorEastAsia" w:eastAsiaTheme="majorEastAsia" w:hAnsiTheme="majorEastAsia" w:hint="eastAsia"/>
          <w:b/>
          <w:bCs/>
          <w:sz w:val="21"/>
          <w:szCs w:val="16"/>
        </w:rPr>
        <w:t xml:space="preserve">　（2）运营管理</w:t>
      </w:r>
    </w:p>
    <w:p w14:paraId="31E275D7"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规范城市数字公共基础设施运营管理相关流程、要求、监测预警、评估方法及改进措施、工具等要求，保障城市数字公共基础设施的可持续运营。</w:t>
      </w:r>
    </w:p>
    <w:p w14:paraId="57CF872E"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（3）报废销毁</w:t>
      </w:r>
    </w:p>
    <w:p w14:paraId="4F81D3E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规范城市数字公共基础设施退出使用后报废、销毁的相关流程、方法等要求，保障城市数字公共基础设施数据安全和环境安全。</w:t>
      </w:r>
    </w:p>
    <w:p w14:paraId="42AAA60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（4）其他</w:t>
      </w:r>
    </w:p>
    <w:p w14:paraId="27B0FA7F"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规范建设与运营相关的其他方面要求。</w:t>
      </w:r>
    </w:p>
    <w:p w14:paraId="4B868F56"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9.安全与保障</w:t>
      </w:r>
    </w:p>
    <w:p w14:paraId="0435AEBD"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规范信息技术应用创新、安全与保障等方面的要求，为网络基础设施、感知基础设施、</w:t>
      </w:r>
      <w:proofErr w:type="gramStart"/>
      <w:r w:rsidRPr="009066B8">
        <w:rPr>
          <w:rFonts w:asciiTheme="majorEastAsia" w:eastAsiaTheme="majorEastAsia" w:hAnsiTheme="majorEastAsia" w:hint="eastAsia"/>
          <w:sz w:val="21"/>
          <w:szCs w:val="16"/>
        </w:rPr>
        <w:t>算力基础</w:t>
      </w:r>
      <w:proofErr w:type="gramEnd"/>
      <w:r w:rsidRPr="009066B8">
        <w:rPr>
          <w:rFonts w:asciiTheme="majorEastAsia" w:eastAsiaTheme="majorEastAsia" w:hAnsiTheme="majorEastAsia" w:hint="eastAsia"/>
          <w:sz w:val="21"/>
          <w:szCs w:val="16"/>
        </w:rPr>
        <w:t>设施、融合基础设施、公共数字底座、应用支撑、建设与运营提供安全支撑，包括网络安全、数据安全、密码应用安全和其他4个子类标准。</w:t>
      </w:r>
    </w:p>
    <w:p w14:paraId="1A7D29A2"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（1）网络安全</w:t>
      </w:r>
    </w:p>
    <w:p w14:paraId="4EB2DC5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使用的互联网、政务外网、业务专网、移动网、物联网等网络基础设施安全防护，计算机、服务器、路由器、交换机等硬件基础环境安全加固，应用系统的安全保护，落实关键信息基础设施安全保护、网络安全等级保护等方面的安全要求。</w:t>
      </w:r>
    </w:p>
    <w:p w14:paraId="3EBB705C"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（2）数据安全</w:t>
      </w:r>
    </w:p>
    <w:p w14:paraId="37D25E3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规范城市数字公共基础设施涉及的数据采集传输、清洗治理、分类分级、共享开放、备份恢复、隐私保护以及脱敏处理等方面的安全要求。</w:t>
      </w:r>
    </w:p>
    <w:p w14:paraId="1C74B022"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（3）密码应用安全</w:t>
      </w:r>
    </w:p>
    <w:p w14:paraId="4395C784"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lastRenderedPageBreak/>
        <w:t xml:space="preserve">　　规范城市数字公共基础设施的物理与环境、网络与通信、设备与计算、应用与数据等国产密码应用的安全要求。</w:t>
      </w:r>
    </w:p>
    <w:p w14:paraId="6413F183"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b/>
          <w:bCs/>
          <w:sz w:val="21"/>
          <w:szCs w:val="16"/>
        </w:rPr>
        <w:t xml:space="preserve">　　（4）其他</w:t>
      </w:r>
    </w:p>
    <w:p w14:paraId="6C251145" w14:textId="77777777" w:rsidR="00612803" w:rsidRPr="009066B8" w:rsidRDefault="00612803" w:rsidP="00612803">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规范信息技术应用创新、安全与保障等其他方面要求。</w:t>
      </w:r>
    </w:p>
    <w:p w14:paraId="6A8D8BB1" w14:textId="79409BAE" w:rsidR="00396AC2" w:rsidRPr="009066B8" w:rsidRDefault="00612803" w:rsidP="00396AC2">
      <w:pPr>
        <w:rPr>
          <w:rFonts w:asciiTheme="majorEastAsia" w:eastAsiaTheme="majorEastAsia" w:hAnsiTheme="majorEastAsia" w:hint="eastAsia"/>
          <w:sz w:val="21"/>
          <w:szCs w:val="16"/>
        </w:rPr>
      </w:pPr>
      <w:r w:rsidRPr="009066B8">
        <w:rPr>
          <w:rFonts w:asciiTheme="majorEastAsia" w:eastAsiaTheme="majorEastAsia" w:hAnsiTheme="majorEastAsia" w:hint="eastAsia"/>
          <w:sz w:val="21"/>
          <w:szCs w:val="16"/>
        </w:rPr>
        <w:t xml:space="preserve">　　附件：城市数字公共基础设施标准体系构成</w:t>
      </w:r>
    </w:p>
    <w:sectPr w:rsidR="00396AC2" w:rsidRPr="009066B8" w:rsidSect="005F182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0" w:footer="283" w:gutter="0"/>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DE5D4" w14:textId="77777777" w:rsidR="008F4670" w:rsidRDefault="008F4670" w:rsidP="0096114C">
      <w:pPr>
        <w:rPr>
          <w:rFonts w:hint="eastAsia"/>
        </w:rPr>
      </w:pPr>
      <w:r>
        <w:separator/>
      </w:r>
    </w:p>
  </w:endnote>
  <w:endnote w:type="continuationSeparator" w:id="0">
    <w:p w14:paraId="5F5AA483" w14:textId="77777777" w:rsidR="008F4670" w:rsidRDefault="008F4670" w:rsidP="0096114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仿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方正楷体_GBK">
    <w:altName w:val="微软雅黑"/>
    <w:charset w:val="86"/>
    <w:family w:val="script"/>
    <w:pitch w:val="fixed"/>
    <w:sig w:usb0="00000001" w:usb1="080E0000" w:usb2="00000010" w:usb3="00000000" w:csb0="00040000" w:csb1="00000000"/>
  </w:font>
  <w:font w:name="方正小标宋简体">
    <w:altName w:val="微软雅黑"/>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3C552" w14:textId="77777777" w:rsidR="009C20DC" w:rsidRDefault="009C20DC">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204404"/>
      <w:docPartObj>
        <w:docPartGallery w:val="Page Numbers (Bottom of Page)"/>
        <w:docPartUnique/>
      </w:docPartObj>
    </w:sdtPr>
    <w:sdtContent>
      <w:p w14:paraId="3956E20F" w14:textId="77777777" w:rsidR="009C20DC" w:rsidRDefault="002B6E15" w:rsidP="009C20DC">
        <w:pPr>
          <w:pStyle w:val="ab"/>
          <w:jc w:val="center"/>
          <w:rPr>
            <w:rFonts w:hint="eastAsia"/>
          </w:rPr>
        </w:pPr>
        <w:r>
          <w:rPr>
            <w:rFonts w:hint="eastAsia"/>
          </w:rPr>
          <w:t>—</w:t>
        </w:r>
        <w:r w:rsidR="009C20DC">
          <w:fldChar w:fldCharType="begin"/>
        </w:r>
        <w:r w:rsidR="009C20DC">
          <w:instrText>PAGE   \* MERGEFORMAT</w:instrText>
        </w:r>
        <w:r w:rsidR="009C20DC">
          <w:fldChar w:fldCharType="separate"/>
        </w:r>
        <w:r w:rsidR="009C20DC">
          <w:rPr>
            <w:lang w:val="zh-CN"/>
          </w:rPr>
          <w:t>2</w:t>
        </w:r>
        <w:r w:rsidR="009C20DC">
          <w:fldChar w:fldCharType="end"/>
        </w:r>
        <w:r>
          <w:rPr>
            <w:rFonts w:hint="eastAsia"/>
          </w:rPr>
          <w:t>—</w:t>
        </w:r>
      </w:p>
    </w:sdtContent>
  </w:sdt>
  <w:p w14:paraId="552B2E58" w14:textId="77777777" w:rsidR="009C20DC" w:rsidRDefault="009C20DC">
    <w:pPr>
      <w:pStyle w:val="ab"/>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74DA1" w14:textId="77777777" w:rsidR="009C20DC" w:rsidRDefault="009C20DC">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D7460" w14:textId="77777777" w:rsidR="008F4670" w:rsidRDefault="008F4670" w:rsidP="0096114C">
      <w:pPr>
        <w:rPr>
          <w:rFonts w:hint="eastAsia"/>
        </w:rPr>
      </w:pPr>
      <w:r>
        <w:separator/>
      </w:r>
    </w:p>
  </w:footnote>
  <w:footnote w:type="continuationSeparator" w:id="0">
    <w:p w14:paraId="35715631" w14:textId="77777777" w:rsidR="008F4670" w:rsidRDefault="008F4670" w:rsidP="0096114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A1DAE" w14:textId="77777777" w:rsidR="009C20DC" w:rsidRDefault="009C20DC">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E95FB" w14:textId="77777777" w:rsidR="009C20DC" w:rsidRDefault="009C20DC">
    <w:pPr>
      <w:pStyle w:val="a9"/>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C2731" w14:textId="77777777" w:rsidR="009C20DC" w:rsidRDefault="009C20DC">
    <w:pPr>
      <w:pStyle w:val="a9"/>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03"/>
    <w:rsid w:val="000009B2"/>
    <w:rsid w:val="000168C4"/>
    <w:rsid w:val="00091309"/>
    <w:rsid w:val="00095CC0"/>
    <w:rsid w:val="000F27EA"/>
    <w:rsid w:val="001561EC"/>
    <w:rsid w:val="001C6CCD"/>
    <w:rsid w:val="0029789A"/>
    <w:rsid w:val="002B3633"/>
    <w:rsid w:val="002B6E15"/>
    <w:rsid w:val="002C0940"/>
    <w:rsid w:val="002E2B49"/>
    <w:rsid w:val="002E5C7F"/>
    <w:rsid w:val="002F5836"/>
    <w:rsid w:val="003461B4"/>
    <w:rsid w:val="00355E79"/>
    <w:rsid w:val="00396AC2"/>
    <w:rsid w:val="003A1394"/>
    <w:rsid w:val="003C021F"/>
    <w:rsid w:val="003C0FDC"/>
    <w:rsid w:val="003C33E4"/>
    <w:rsid w:val="003E7D6C"/>
    <w:rsid w:val="00441E0F"/>
    <w:rsid w:val="00445ED5"/>
    <w:rsid w:val="004E0C00"/>
    <w:rsid w:val="004F1074"/>
    <w:rsid w:val="004F1C6F"/>
    <w:rsid w:val="005117F6"/>
    <w:rsid w:val="0052570E"/>
    <w:rsid w:val="00541B63"/>
    <w:rsid w:val="00547A9C"/>
    <w:rsid w:val="005A003E"/>
    <w:rsid w:val="005F182C"/>
    <w:rsid w:val="00612803"/>
    <w:rsid w:val="00622F83"/>
    <w:rsid w:val="006366D1"/>
    <w:rsid w:val="006D3D64"/>
    <w:rsid w:val="006F5A4F"/>
    <w:rsid w:val="007044F5"/>
    <w:rsid w:val="007202E7"/>
    <w:rsid w:val="00735CEC"/>
    <w:rsid w:val="007B7533"/>
    <w:rsid w:val="007B7EFE"/>
    <w:rsid w:val="00816823"/>
    <w:rsid w:val="0082323D"/>
    <w:rsid w:val="008B17D3"/>
    <w:rsid w:val="008F3151"/>
    <w:rsid w:val="008F4670"/>
    <w:rsid w:val="009066B8"/>
    <w:rsid w:val="0096114C"/>
    <w:rsid w:val="009C20DC"/>
    <w:rsid w:val="009E48AB"/>
    <w:rsid w:val="00A15450"/>
    <w:rsid w:val="00A71ED1"/>
    <w:rsid w:val="00A72CDE"/>
    <w:rsid w:val="00A82F4D"/>
    <w:rsid w:val="00AA6979"/>
    <w:rsid w:val="00AB6E77"/>
    <w:rsid w:val="00B3677B"/>
    <w:rsid w:val="00B737E7"/>
    <w:rsid w:val="00B92B8E"/>
    <w:rsid w:val="00BC494F"/>
    <w:rsid w:val="00C845B9"/>
    <w:rsid w:val="00C85B28"/>
    <w:rsid w:val="00CB7D46"/>
    <w:rsid w:val="00CE5273"/>
    <w:rsid w:val="00DA7C2C"/>
    <w:rsid w:val="00DC0FBC"/>
    <w:rsid w:val="00DD5FB1"/>
    <w:rsid w:val="00E413BB"/>
    <w:rsid w:val="00E5080B"/>
    <w:rsid w:val="00E57F4D"/>
    <w:rsid w:val="00E63B5C"/>
    <w:rsid w:val="00E71CAD"/>
    <w:rsid w:val="00E746D2"/>
    <w:rsid w:val="00EB33A3"/>
    <w:rsid w:val="00F00AB4"/>
    <w:rsid w:val="00F32B66"/>
    <w:rsid w:val="00F73E57"/>
    <w:rsid w:val="00FD4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97A4A"/>
  <w15:chartTrackingRefBased/>
  <w15:docId w15:val="{A590B519-0053-4D0B-9467-F2A246A7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6AC2"/>
    <w:pPr>
      <w:widowControl w:val="0"/>
      <w:spacing w:after="0" w:line="580" w:lineRule="exact"/>
    </w:pPr>
    <w:rPr>
      <w:rFonts w:ascii="方正仿宋_GBK" w:eastAsia="方正仿宋_GBK"/>
      <w:sz w:val="30"/>
    </w:rPr>
  </w:style>
  <w:style w:type="paragraph" w:styleId="1">
    <w:name w:val="heading 1"/>
    <w:basedOn w:val="a"/>
    <w:next w:val="a"/>
    <w:link w:val="10"/>
    <w:uiPriority w:val="9"/>
    <w:qFormat/>
    <w:rsid w:val="00396AC2"/>
    <w:pPr>
      <w:keepNext/>
      <w:keepLines/>
      <w:spacing w:line="240" w:lineRule="auto"/>
      <w:ind w:firstLineChars="200" w:firstLine="200"/>
      <w:outlineLvl w:val="0"/>
    </w:pPr>
    <w:rPr>
      <w:rFonts w:ascii="方正黑体_GBK" w:eastAsia="方正黑体_GBK"/>
      <w:b/>
      <w:bCs/>
      <w:kern w:val="44"/>
      <w:sz w:val="32"/>
      <w:szCs w:val="44"/>
    </w:rPr>
  </w:style>
  <w:style w:type="paragraph" w:styleId="2">
    <w:name w:val="heading 2"/>
    <w:basedOn w:val="a"/>
    <w:next w:val="a"/>
    <w:link w:val="20"/>
    <w:uiPriority w:val="9"/>
    <w:unhideWhenUsed/>
    <w:qFormat/>
    <w:rsid w:val="00396AC2"/>
    <w:pPr>
      <w:keepNext/>
      <w:keepLines/>
      <w:spacing w:line="240" w:lineRule="auto"/>
      <w:ind w:firstLineChars="200" w:firstLine="200"/>
      <w:outlineLvl w:val="1"/>
    </w:pPr>
    <w:rPr>
      <w:rFonts w:ascii="方正黑体_GBK" w:eastAsia="方正黑体_GBK" w:hAnsiTheme="majorHAnsi" w:cstheme="majorBidi"/>
      <w:b/>
      <w:bCs/>
      <w:szCs w:val="32"/>
    </w:rPr>
  </w:style>
  <w:style w:type="paragraph" w:styleId="3">
    <w:name w:val="heading 3"/>
    <w:basedOn w:val="a"/>
    <w:next w:val="a"/>
    <w:link w:val="30"/>
    <w:uiPriority w:val="9"/>
    <w:unhideWhenUsed/>
    <w:qFormat/>
    <w:rsid w:val="00396AC2"/>
    <w:pPr>
      <w:keepNext/>
      <w:keepLines/>
      <w:spacing w:line="240" w:lineRule="auto"/>
      <w:ind w:firstLineChars="200" w:firstLine="200"/>
      <w:outlineLvl w:val="2"/>
    </w:pPr>
    <w:rPr>
      <w:rFonts w:ascii="方正楷体_GBK" w:eastAsia="方正楷体_GBK"/>
      <w:b/>
      <w:bCs/>
      <w:szCs w:val="32"/>
    </w:rPr>
  </w:style>
  <w:style w:type="paragraph" w:styleId="4">
    <w:name w:val="heading 4"/>
    <w:basedOn w:val="a"/>
    <w:next w:val="a"/>
    <w:link w:val="40"/>
    <w:uiPriority w:val="9"/>
    <w:unhideWhenUsed/>
    <w:qFormat/>
    <w:rsid w:val="00396AC2"/>
    <w:pPr>
      <w:keepNext/>
      <w:keepLines/>
      <w:spacing w:line="240" w:lineRule="auto"/>
      <w:ind w:firstLineChars="200" w:firstLine="200"/>
      <w:outlineLvl w:val="3"/>
    </w:pPr>
    <w:rPr>
      <w:rFonts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96AC2"/>
    <w:rPr>
      <w:rFonts w:ascii="方正黑体_GBK" w:eastAsia="方正黑体_GBK"/>
      <w:b/>
      <w:bCs/>
      <w:kern w:val="44"/>
      <w:sz w:val="32"/>
      <w:szCs w:val="44"/>
    </w:rPr>
  </w:style>
  <w:style w:type="paragraph" w:styleId="a3">
    <w:name w:val="Body Text"/>
    <w:basedOn w:val="a"/>
    <w:link w:val="a4"/>
    <w:uiPriority w:val="99"/>
    <w:semiHidden/>
    <w:unhideWhenUsed/>
    <w:rsid w:val="002E5C7F"/>
    <w:pPr>
      <w:spacing w:after="120"/>
    </w:pPr>
  </w:style>
  <w:style w:type="character" w:customStyle="1" w:styleId="a4">
    <w:name w:val="正文文本 字符"/>
    <w:basedOn w:val="a0"/>
    <w:link w:val="a3"/>
    <w:uiPriority w:val="99"/>
    <w:semiHidden/>
    <w:rsid w:val="002E5C7F"/>
  </w:style>
  <w:style w:type="character" w:customStyle="1" w:styleId="20">
    <w:name w:val="标题 2 字符"/>
    <w:basedOn w:val="a0"/>
    <w:link w:val="2"/>
    <w:uiPriority w:val="9"/>
    <w:rsid w:val="00396AC2"/>
    <w:rPr>
      <w:rFonts w:ascii="方正黑体_GBK" w:eastAsia="方正黑体_GBK" w:hAnsiTheme="majorHAnsi" w:cstheme="majorBidi"/>
      <w:b/>
      <w:bCs/>
      <w:sz w:val="30"/>
      <w:szCs w:val="32"/>
    </w:rPr>
  </w:style>
  <w:style w:type="character" w:customStyle="1" w:styleId="30">
    <w:name w:val="标题 3 字符"/>
    <w:basedOn w:val="a0"/>
    <w:link w:val="3"/>
    <w:uiPriority w:val="9"/>
    <w:rsid w:val="00396AC2"/>
    <w:rPr>
      <w:rFonts w:ascii="方正楷体_GBK" w:eastAsia="方正楷体_GBK"/>
      <w:b/>
      <w:bCs/>
      <w:sz w:val="30"/>
      <w:szCs w:val="32"/>
    </w:rPr>
  </w:style>
  <w:style w:type="character" w:customStyle="1" w:styleId="40">
    <w:name w:val="标题 4 字符"/>
    <w:basedOn w:val="a0"/>
    <w:link w:val="4"/>
    <w:uiPriority w:val="9"/>
    <w:rsid w:val="00396AC2"/>
    <w:rPr>
      <w:rFonts w:ascii="方正仿宋_GBK" w:eastAsia="方正仿宋_GBK" w:hAnsiTheme="majorHAnsi" w:cstheme="majorBidi"/>
      <w:bCs/>
      <w:sz w:val="30"/>
      <w:szCs w:val="28"/>
    </w:rPr>
  </w:style>
  <w:style w:type="paragraph" w:styleId="a5">
    <w:name w:val="Title"/>
    <w:basedOn w:val="a"/>
    <w:next w:val="a"/>
    <w:link w:val="a6"/>
    <w:uiPriority w:val="10"/>
    <w:qFormat/>
    <w:rsid w:val="00396AC2"/>
    <w:pPr>
      <w:spacing w:line="640" w:lineRule="exact"/>
      <w:jc w:val="center"/>
      <w:outlineLvl w:val="0"/>
    </w:pPr>
    <w:rPr>
      <w:rFonts w:ascii="方正小标宋简体" w:eastAsia="方正小标宋简体" w:hAnsiTheme="majorHAnsi" w:cstheme="majorBidi"/>
      <w:b/>
      <w:bCs/>
      <w:sz w:val="36"/>
      <w:szCs w:val="32"/>
    </w:rPr>
  </w:style>
  <w:style w:type="character" w:customStyle="1" w:styleId="a6">
    <w:name w:val="标题 字符"/>
    <w:basedOn w:val="a0"/>
    <w:link w:val="a5"/>
    <w:uiPriority w:val="10"/>
    <w:rsid w:val="00396AC2"/>
    <w:rPr>
      <w:rFonts w:ascii="方正小标宋简体" w:eastAsia="方正小标宋简体" w:hAnsiTheme="majorHAnsi" w:cstheme="majorBidi"/>
      <w:b/>
      <w:bCs/>
      <w:sz w:val="36"/>
      <w:szCs w:val="32"/>
    </w:rPr>
  </w:style>
  <w:style w:type="paragraph" w:styleId="a7">
    <w:name w:val="Subtitle"/>
    <w:basedOn w:val="a"/>
    <w:next w:val="a"/>
    <w:link w:val="a8"/>
    <w:uiPriority w:val="11"/>
    <w:qFormat/>
    <w:rsid w:val="00396AC2"/>
    <w:pPr>
      <w:spacing w:line="600" w:lineRule="exact"/>
      <w:jc w:val="center"/>
      <w:outlineLvl w:val="1"/>
    </w:pPr>
    <w:rPr>
      <w:rFonts w:ascii="方正小标宋简体" w:eastAsia="方正小标宋简体"/>
      <w:bCs/>
      <w:kern w:val="28"/>
      <w:sz w:val="32"/>
      <w:szCs w:val="32"/>
    </w:rPr>
  </w:style>
  <w:style w:type="character" w:customStyle="1" w:styleId="a8">
    <w:name w:val="副标题 字符"/>
    <w:basedOn w:val="a0"/>
    <w:link w:val="a7"/>
    <w:uiPriority w:val="11"/>
    <w:rsid w:val="00396AC2"/>
    <w:rPr>
      <w:rFonts w:ascii="方正小标宋简体" w:eastAsia="方正小标宋简体"/>
      <w:bCs/>
      <w:kern w:val="28"/>
      <w:sz w:val="32"/>
      <w:szCs w:val="32"/>
    </w:rPr>
  </w:style>
  <w:style w:type="paragraph" w:styleId="a9">
    <w:name w:val="header"/>
    <w:basedOn w:val="a"/>
    <w:link w:val="aa"/>
    <w:uiPriority w:val="99"/>
    <w:unhideWhenUsed/>
    <w:rsid w:val="0096114C"/>
    <w:pPr>
      <w:tabs>
        <w:tab w:val="center" w:pos="4153"/>
        <w:tab w:val="right" w:pos="8306"/>
      </w:tabs>
      <w:snapToGrid w:val="0"/>
      <w:jc w:val="center"/>
    </w:pPr>
    <w:rPr>
      <w:sz w:val="18"/>
      <w:szCs w:val="18"/>
    </w:rPr>
  </w:style>
  <w:style w:type="character" w:customStyle="1" w:styleId="aa">
    <w:name w:val="页眉 字符"/>
    <w:basedOn w:val="a0"/>
    <w:link w:val="a9"/>
    <w:uiPriority w:val="99"/>
    <w:rsid w:val="0096114C"/>
    <w:rPr>
      <w:rFonts w:ascii="宋体" w:eastAsia="宋体"/>
      <w:sz w:val="18"/>
      <w:szCs w:val="18"/>
    </w:rPr>
  </w:style>
  <w:style w:type="paragraph" w:styleId="ab">
    <w:name w:val="footer"/>
    <w:basedOn w:val="a"/>
    <w:link w:val="ac"/>
    <w:uiPriority w:val="99"/>
    <w:unhideWhenUsed/>
    <w:rsid w:val="005F182C"/>
    <w:pPr>
      <w:tabs>
        <w:tab w:val="center" w:pos="4153"/>
        <w:tab w:val="right" w:pos="8306"/>
      </w:tabs>
      <w:snapToGrid w:val="0"/>
    </w:pPr>
    <w:rPr>
      <w:sz w:val="18"/>
      <w:szCs w:val="18"/>
    </w:rPr>
  </w:style>
  <w:style w:type="character" w:customStyle="1" w:styleId="ac">
    <w:name w:val="页脚 字符"/>
    <w:basedOn w:val="a0"/>
    <w:link w:val="ab"/>
    <w:uiPriority w:val="99"/>
    <w:rsid w:val="005F182C"/>
    <w:rPr>
      <w:rFonts w:ascii="方正仿宋_GBK" w:eastAsia="方正仿宋_GBK"/>
      <w:sz w:val="18"/>
      <w:szCs w:val="18"/>
    </w:rPr>
  </w:style>
  <w:style w:type="character" w:styleId="ad">
    <w:name w:val="Strong"/>
    <w:basedOn w:val="a0"/>
    <w:uiPriority w:val="22"/>
    <w:qFormat/>
    <w:rsid w:val="002B6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7631087">
      <w:bodyDiv w:val="1"/>
      <w:marLeft w:val="0"/>
      <w:marRight w:val="0"/>
      <w:marTop w:val="0"/>
      <w:marBottom w:val="0"/>
      <w:divBdr>
        <w:top w:val="none" w:sz="0" w:space="0" w:color="auto"/>
        <w:left w:val="none" w:sz="0" w:space="0" w:color="auto"/>
        <w:bottom w:val="none" w:sz="0" w:space="0" w:color="auto"/>
        <w:right w:val="none" w:sz="0" w:space="0" w:color="auto"/>
      </w:divBdr>
    </w:div>
    <w:div w:id="193882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682</Words>
  <Characters>3890</Characters>
  <Application>Microsoft Office Word</Application>
  <DocSecurity>0</DocSecurity>
  <Lines>32</Lines>
  <Paragraphs>9</Paragraphs>
  <ScaleCrop>false</ScaleCrop>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ModifiedBy>zengdi ma</cp:lastModifiedBy>
  <cp:revision>4</cp:revision>
  <cp:lastPrinted>2024-10-12T13:02:00Z</cp:lastPrinted>
  <dcterms:created xsi:type="dcterms:W3CDTF">2024-11-01T11:18:00Z</dcterms:created>
  <dcterms:modified xsi:type="dcterms:W3CDTF">2024-11-18T02:45:00Z</dcterms:modified>
</cp:coreProperties>
</file>