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5B47C" w14:textId="44522D23" w:rsidR="006538D4" w:rsidRDefault="006538D4" w:rsidP="002419F5">
      <w:pPr>
        <w:pStyle w:val="a5"/>
        <w:spacing w:line="480" w:lineRule="auto"/>
        <w:rPr>
          <w:rFonts w:hint="eastAsia"/>
        </w:rPr>
      </w:pPr>
      <w:r w:rsidRPr="006538D4">
        <w:rPr>
          <w:rFonts w:hint="eastAsia"/>
        </w:rPr>
        <w:t>福建省公共数据运营服务费收费标准（试行）</w:t>
      </w:r>
    </w:p>
    <w:p w14:paraId="57F19F8A" w14:textId="77777777" w:rsidR="006538D4" w:rsidRPr="006538D4" w:rsidRDefault="006538D4" w:rsidP="002419F5">
      <w:pPr>
        <w:spacing w:line="480" w:lineRule="auto"/>
        <w:rPr>
          <w:rFonts w:hint="eastAsia"/>
        </w:rPr>
      </w:pPr>
    </w:p>
    <w:p w14:paraId="0CFF043F" w14:textId="2E52A27B" w:rsidR="006538D4" w:rsidRDefault="006538D4" w:rsidP="002419F5">
      <w:pPr>
        <w:spacing w:line="480" w:lineRule="auto"/>
        <w:ind w:firstLineChars="200" w:firstLine="600"/>
        <w:rPr>
          <w:rFonts w:hint="eastAsia"/>
        </w:rPr>
      </w:pPr>
      <w:r w:rsidRPr="006538D4">
        <w:t>为深入贯彻《中共中央、国务院关于构建数据基础制度更好发挥数据要素作用的意见》《中共中央办公厅、国务院办公厅关于加快公共数据资源开发利用的意见》，依据《国家发改委、国家数据局关于建立公共数据资源授权运营价格形成机制的通知》《福建省加快推进数据要素市场化改革实施方案》精神，在福建省数据管理局指导下，制定福建省公共数据运营服务费试行收费标准，如下：</w:t>
      </w:r>
    </w:p>
    <w:p w14:paraId="02DF153D" w14:textId="77777777" w:rsidR="006538D4" w:rsidRDefault="006538D4" w:rsidP="002419F5">
      <w:pPr>
        <w:spacing w:line="480" w:lineRule="auto"/>
        <w:rPr>
          <w:rFonts w:hint="eastAsia"/>
        </w:rPr>
      </w:pPr>
      <w:r w:rsidRPr="006538D4">
        <w:rPr>
          <w:rFonts w:hint="eastAsia"/>
          <w:noProof/>
        </w:rPr>
        <w:drawing>
          <wp:inline distT="0" distB="0" distL="0" distR="0" wp14:anchorId="622EC74C" wp14:editId="570D7179">
            <wp:extent cx="5274310" cy="3118485"/>
            <wp:effectExtent l="0" t="0" r="2540" b="5715"/>
            <wp:docPr id="1104823890"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118485"/>
                    </a:xfrm>
                    <a:prstGeom prst="rect">
                      <a:avLst/>
                    </a:prstGeom>
                    <a:noFill/>
                    <a:ln>
                      <a:noFill/>
                    </a:ln>
                  </pic:spPr>
                </pic:pic>
              </a:graphicData>
            </a:graphic>
          </wp:inline>
        </w:drawing>
      </w:r>
    </w:p>
    <w:p w14:paraId="37A09AE2" w14:textId="0E3ADA8D" w:rsidR="006538D4" w:rsidRPr="006538D4" w:rsidRDefault="006538D4" w:rsidP="002419F5">
      <w:pPr>
        <w:spacing w:line="480" w:lineRule="auto"/>
        <w:ind w:firstLineChars="200" w:firstLine="600"/>
        <w:rPr>
          <w:rFonts w:hint="eastAsia"/>
        </w:rPr>
      </w:pPr>
      <w:r w:rsidRPr="006538D4">
        <w:t>本标准自公布之日起施行，由福建大数据一级开发有限公司</w:t>
      </w:r>
      <w:r w:rsidRPr="006538D4">
        <w:lastRenderedPageBreak/>
        <w:t>负责解释。试行期间收费标准如发生调整，将另行公告。有关说明附后。</w:t>
      </w:r>
    </w:p>
    <w:p w14:paraId="290C6470" w14:textId="77777777" w:rsidR="006538D4" w:rsidRDefault="006538D4" w:rsidP="002419F5">
      <w:pPr>
        <w:spacing w:line="480" w:lineRule="auto"/>
        <w:rPr>
          <w:rFonts w:hint="eastAsia"/>
        </w:rPr>
        <w:sectPr w:rsidR="006538D4" w:rsidSect="005F182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0" w:footer="283" w:gutter="0"/>
          <w:cols w:space="425"/>
          <w:docGrid w:type="lines" w:linePitch="408"/>
        </w:sectPr>
      </w:pPr>
    </w:p>
    <w:p w14:paraId="68FD236C" w14:textId="64CB5340" w:rsidR="006538D4" w:rsidRDefault="006538D4" w:rsidP="002419F5">
      <w:pPr>
        <w:pStyle w:val="a5"/>
        <w:spacing w:line="480" w:lineRule="auto"/>
        <w:rPr>
          <w:rFonts w:hint="eastAsia"/>
        </w:rPr>
      </w:pPr>
      <w:r w:rsidRPr="006538D4">
        <w:lastRenderedPageBreak/>
        <w:t>福建省公共数据运营服务费收费说明（试行）</w:t>
      </w:r>
    </w:p>
    <w:p w14:paraId="55ED6553" w14:textId="5244DD5F" w:rsidR="006538D4" w:rsidRPr="006538D4" w:rsidRDefault="006538D4" w:rsidP="002419F5">
      <w:pPr>
        <w:spacing w:line="480" w:lineRule="auto"/>
        <w:ind w:firstLineChars="200" w:firstLine="600"/>
        <w:rPr>
          <w:rFonts w:hint="eastAsia"/>
        </w:rPr>
      </w:pPr>
      <w:r w:rsidRPr="006538D4">
        <w:rPr>
          <w:rFonts w:hint="eastAsia"/>
        </w:rPr>
        <w:t>为深入贯彻《中共中央、国务院关于构建数据基础制度更好发挥数据要素作用的意见》《中共中央办公厅、国务院办公厅关于加快公共数据资源开发利用的意见》，依据《国家发改委、国家数据局关于建立公共数据资源授权运营价格形成机制的通知》《福建省加快推进数据要素市场化改革实施方案》精神，在福建省数据管理局指导下，制定福建省公共数据运营服务费试行收费标准。</w:t>
      </w:r>
    </w:p>
    <w:p w14:paraId="0F550051" w14:textId="77777777" w:rsidR="006538D4" w:rsidRPr="006538D4" w:rsidRDefault="006538D4" w:rsidP="002419F5">
      <w:pPr>
        <w:spacing w:line="480" w:lineRule="auto"/>
        <w:ind w:firstLineChars="200" w:firstLine="600"/>
        <w:rPr>
          <w:rFonts w:hint="eastAsia"/>
        </w:rPr>
      </w:pPr>
      <w:r w:rsidRPr="006538D4">
        <w:rPr>
          <w:rFonts w:hint="eastAsia"/>
        </w:rPr>
        <w:t>一、收费依据</w:t>
      </w:r>
    </w:p>
    <w:p w14:paraId="4AF9CAC3" w14:textId="77777777" w:rsidR="006538D4" w:rsidRPr="006538D4" w:rsidRDefault="006538D4" w:rsidP="002419F5">
      <w:pPr>
        <w:spacing w:line="480" w:lineRule="auto"/>
        <w:ind w:firstLineChars="200" w:firstLine="600"/>
        <w:rPr>
          <w:rFonts w:hint="eastAsia"/>
        </w:rPr>
      </w:pPr>
      <w:r w:rsidRPr="006538D4">
        <w:rPr>
          <w:rFonts w:hint="eastAsia"/>
        </w:rPr>
        <w:t>《国家发展改革委、国家数据局关于建立公共数据资源授权运营价格形成机制的通知》（</w:t>
      </w:r>
      <w:proofErr w:type="gramStart"/>
      <w:r w:rsidRPr="006538D4">
        <w:rPr>
          <w:rFonts w:hint="eastAsia"/>
        </w:rPr>
        <w:t>发改价格</w:t>
      </w:r>
      <w:proofErr w:type="gramEnd"/>
      <w:r w:rsidRPr="006538D4">
        <w:rPr>
          <w:rFonts w:hint="eastAsia"/>
        </w:rPr>
        <w:t>〔2025〕65号），要求制定公共数据运营服务费标准，建立公共数据资源授权运营价格形成机制，并明确“公共数据运营服务费实行政府指导价管理，按程序纳入地方定价目录，原则上由省级发展改革部门会同数据管理等部门制定收费标准”、“尚无完整年度运营情况的，由授权主体指导运营机构制定公共数据运营服务费试行收费标准”。</w:t>
      </w:r>
    </w:p>
    <w:p w14:paraId="6BE4828A" w14:textId="77777777" w:rsidR="006538D4" w:rsidRPr="006538D4" w:rsidRDefault="006538D4" w:rsidP="002419F5">
      <w:pPr>
        <w:spacing w:line="480" w:lineRule="auto"/>
        <w:ind w:firstLineChars="200" w:firstLine="600"/>
        <w:rPr>
          <w:rFonts w:hint="eastAsia"/>
        </w:rPr>
      </w:pPr>
      <w:r w:rsidRPr="006538D4">
        <w:rPr>
          <w:rFonts w:hint="eastAsia"/>
        </w:rPr>
        <w:t>二、收费项目</w:t>
      </w:r>
    </w:p>
    <w:p w14:paraId="3870D0F5" w14:textId="77777777" w:rsidR="006538D4" w:rsidRPr="006538D4" w:rsidRDefault="006538D4" w:rsidP="002419F5">
      <w:pPr>
        <w:spacing w:line="480" w:lineRule="auto"/>
        <w:ind w:firstLineChars="200" w:firstLine="600"/>
        <w:rPr>
          <w:rFonts w:hint="eastAsia"/>
        </w:rPr>
      </w:pPr>
      <w:r w:rsidRPr="006538D4">
        <w:rPr>
          <w:rFonts w:hint="eastAsia"/>
        </w:rPr>
        <w:lastRenderedPageBreak/>
        <w:t>公共数据运营服务费属于纳入政府定价的经营服务性收费项目，分技术服务费和</w:t>
      </w:r>
      <w:proofErr w:type="gramStart"/>
      <w:r w:rsidRPr="006538D4">
        <w:rPr>
          <w:rFonts w:hint="eastAsia"/>
        </w:rPr>
        <w:t>存算设施</w:t>
      </w:r>
      <w:proofErr w:type="gramEnd"/>
      <w:r w:rsidRPr="006538D4">
        <w:rPr>
          <w:rFonts w:hint="eastAsia"/>
        </w:rPr>
        <w:t>使用费两项，由省公共数据授权运营主体（即福建大数据一级开发有限公司，以下简称“平台运营单位”）收取使用，其中：</w:t>
      </w:r>
    </w:p>
    <w:p w14:paraId="5B0D2556" w14:textId="77777777" w:rsidR="006538D4" w:rsidRPr="006538D4" w:rsidRDefault="006538D4" w:rsidP="002419F5">
      <w:pPr>
        <w:spacing w:line="480" w:lineRule="auto"/>
        <w:ind w:firstLineChars="200" w:firstLine="600"/>
        <w:rPr>
          <w:rFonts w:hint="eastAsia"/>
        </w:rPr>
      </w:pPr>
      <w:r w:rsidRPr="006538D4">
        <w:rPr>
          <w:rFonts w:hint="eastAsia"/>
        </w:rPr>
        <w:t>1.技术服务费是指为数据使用主体提供公共数据资源开发、运营管理、技术支撑、基础</w:t>
      </w:r>
      <w:proofErr w:type="gramStart"/>
      <w:r w:rsidRPr="006538D4">
        <w:rPr>
          <w:rFonts w:hint="eastAsia"/>
        </w:rPr>
        <w:t>存算资源</w:t>
      </w:r>
      <w:proofErr w:type="gramEnd"/>
      <w:r w:rsidRPr="006538D4">
        <w:rPr>
          <w:rFonts w:hint="eastAsia"/>
        </w:rPr>
        <w:t>等服务产生的费用。</w:t>
      </w:r>
    </w:p>
    <w:p w14:paraId="225E4862" w14:textId="77777777" w:rsidR="006538D4" w:rsidRPr="006538D4" w:rsidRDefault="006538D4" w:rsidP="002419F5">
      <w:pPr>
        <w:spacing w:line="480" w:lineRule="auto"/>
        <w:ind w:firstLineChars="200" w:firstLine="600"/>
        <w:rPr>
          <w:rFonts w:hint="eastAsia"/>
        </w:rPr>
      </w:pPr>
      <w:r w:rsidRPr="006538D4">
        <w:rPr>
          <w:rFonts w:hint="eastAsia"/>
        </w:rPr>
        <w:t>2.</w:t>
      </w:r>
      <w:proofErr w:type="gramStart"/>
      <w:r w:rsidRPr="006538D4">
        <w:rPr>
          <w:rFonts w:hint="eastAsia"/>
        </w:rPr>
        <w:t>存算设施</w:t>
      </w:r>
      <w:proofErr w:type="gramEnd"/>
      <w:r w:rsidRPr="006538D4">
        <w:rPr>
          <w:rFonts w:hint="eastAsia"/>
        </w:rPr>
        <w:t>使用费是指为数据使用主体依托福建省公共数据资源开发服务平台进行数据模型建设、应用场景开发等活动占用的，超出基础</w:t>
      </w:r>
      <w:proofErr w:type="gramStart"/>
      <w:r w:rsidRPr="006538D4">
        <w:rPr>
          <w:rFonts w:hint="eastAsia"/>
        </w:rPr>
        <w:t>存算资源</w:t>
      </w:r>
      <w:proofErr w:type="gramEnd"/>
      <w:r w:rsidRPr="006538D4">
        <w:rPr>
          <w:rFonts w:hint="eastAsia"/>
        </w:rPr>
        <w:t>部分产生的额外费用。</w:t>
      </w:r>
    </w:p>
    <w:p w14:paraId="160B9FE9" w14:textId="77777777" w:rsidR="006538D4" w:rsidRPr="006538D4" w:rsidRDefault="006538D4" w:rsidP="002419F5">
      <w:pPr>
        <w:spacing w:line="480" w:lineRule="auto"/>
        <w:ind w:firstLineChars="200" w:firstLine="600"/>
        <w:rPr>
          <w:rFonts w:hint="eastAsia"/>
        </w:rPr>
      </w:pPr>
      <w:r w:rsidRPr="006538D4">
        <w:rPr>
          <w:rFonts w:hint="eastAsia"/>
        </w:rPr>
        <w:t>根据当前已上线应用场景的资源使用情况，按照最小必要原则，省公共数据资源开发服务平台为每个应用场景提供最多不超过2VCPU+6G内存+10G硬盘空间的免费</w:t>
      </w:r>
      <w:proofErr w:type="gramStart"/>
      <w:r w:rsidRPr="006538D4">
        <w:rPr>
          <w:rFonts w:hint="eastAsia"/>
        </w:rPr>
        <w:t>基础存算资源</w:t>
      </w:r>
      <w:proofErr w:type="gramEnd"/>
      <w:r w:rsidRPr="006538D4">
        <w:rPr>
          <w:rFonts w:hint="eastAsia"/>
        </w:rPr>
        <w:t>，以满足场景的基本运行需求。</w:t>
      </w:r>
    </w:p>
    <w:p w14:paraId="57026BFC" w14:textId="77777777" w:rsidR="006538D4" w:rsidRPr="006538D4" w:rsidRDefault="006538D4" w:rsidP="002419F5">
      <w:pPr>
        <w:spacing w:line="480" w:lineRule="auto"/>
        <w:ind w:firstLineChars="200" w:firstLine="600"/>
        <w:rPr>
          <w:rFonts w:hint="eastAsia"/>
        </w:rPr>
      </w:pPr>
      <w:r w:rsidRPr="006538D4">
        <w:rPr>
          <w:rFonts w:hint="eastAsia"/>
        </w:rPr>
        <w:t>三、计费模式</w:t>
      </w:r>
    </w:p>
    <w:p w14:paraId="12F5812F" w14:textId="77777777" w:rsidR="006538D4" w:rsidRPr="006538D4" w:rsidRDefault="006538D4" w:rsidP="002419F5">
      <w:pPr>
        <w:spacing w:line="480" w:lineRule="auto"/>
        <w:ind w:firstLineChars="200" w:firstLine="600"/>
        <w:rPr>
          <w:rFonts w:hint="eastAsia"/>
        </w:rPr>
      </w:pPr>
      <w:r w:rsidRPr="006538D4">
        <w:rPr>
          <w:rFonts w:hint="eastAsia"/>
        </w:rPr>
        <w:t>（一）技术服务费</w:t>
      </w:r>
    </w:p>
    <w:p w14:paraId="6F69AB5B" w14:textId="77777777" w:rsidR="006538D4" w:rsidRPr="006538D4" w:rsidRDefault="006538D4" w:rsidP="002419F5">
      <w:pPr>
        <w:spacing w:line="480" w:lineRule="auto"/>
        <w:ind w:firstLineChars="200" w:firstLine="600"/>
        <w:rPr>
          <w:rFonts w:hint="eastAsia"/>
        </w:rPr>
      </w:pPr>
      <w:r w:rsidRPr="006538D4">
        <w:rPr>
          <w:rFonts w:hint="eastAsia"/>
        </w:rPr>
        <w:t>1.计量方式</w:t>
      </w:r>
    </w:p>
    <w:p w14:paraId="43DFC69B" w14:textId="77777777" w:rsidR="006538D4" w:rsidRPr="006538D4" w:rsidRDefault="006538D4" w:rsidP="002419F5">
      <w:pPr>
        <w:spacing w:line="480" w:lineRule="auto"/>
        <w:ind w:firstLineChars="200" w:firstLine="600"/>
        <w:rPr>
          <w:rFonts w:hint="eastAsia"/>
        </w:rPr>
      </w:pPr>
      <w:r w:rsidRPr="006538D4">
        <w:rPr>
          <w:rFonts w:hint="eastAsia"/>
        </w:rPr>
        <w:t>技术服务</w:t>
      </w:r>
      <w:proofErr w:type="gramStart"/>
      <w:r w:rsidRPr="006538D4">
        <w:rPr>
          <w:rFonts w:hint="eastAsia"/>
        </w:rPr>
        <w:t>费按照</w:t>
      </w:r>
      <w:proofErr w:type="gramEnd"/>
      <w:r w:rsidRPr="006538D4">
        <w:rPr>
          <w:rFonts w:hint="eastAsia"/>
        </w:rPr>
        <w:t>应用场景的数据使用量计量，数据使用量以</w:t>
      </w:r>
      <w:r w:rsidRPr="006538D4">
        <w:rPr>
          <w:rFonts w:hint="eastAsia"/>
        </w:rPr>
        <w:lastRenderedPageBreak/>
        <w:t>单一数据项的单条数据为基本单位（项/条/次），计算公式如下：</w:t>
      </w:r>
    </w:p>
    <w:p w14:paraId="7AD30E95" w14:textId="77777777" w:rsidR="006538D4" w:rsidRPr="006538D4" w:rsidRDefault="006538D4" w:rsidP="002419F5">
      <w:pPr>
        <w:spacing w:line="480" w:lineRule="auto"/>
        <w:ind w:firstLineChars="200" w:firstLine="600"/>
        <w:rPr>
          <w:rFonts w:hint="eastAsia"/>
        </w:rPr>
      </w:pPr>
      <w:r w:rsidRPr="006538D4">
        <w:rPr>
          <w:rFonts w:hint="eastAsia"/>
        </w:rPr>
        <w:t>数据使用量=数据项个数×记录使用条数×模型调用次数</w:t>
      </w:r>
    </w:p>
    <w:p w14:paraId="0DE36803" w14:textId="77777777" w:rsidR="006538D4" w:rsidRPr="006538D4" w:rsidRDefault="006538D4" w:rsidP="002419F5">
      <w:pPr>
        <w:spacing w:line="480" w:lineRule="auto"/>
        <w:ind w:firstLineChars="200" w:firstLine="600"/>
        <w:rPr>
          <w:rFonts w:hint="eastAsia"/>
        </w:rPr>
      </w:pPr>
      <w:r w:rsidRPr="006538D4">
        <w:rPr>
          <w:rFonts w:hint="eastAsia"/>
        </w:rPr>
        <w:t>其中，数据项</w:t>
      </w:r>
      <w:proofErr w:type="gramStart"/>
      <w:r w:rsidRPr="006538D4">
        <w:rPr>
          <w:rFonts w:hint="eastAsia"/>
        </w:rPr>
        <w:t>个</w:t>
      </w:r>
      <w:proofErr w:type="gramEnd"/>
      <w:r w:rsidRPr="006538D4">
        <w:rPr>
          <w:rFonts w:hint="eastAsia"/>
        </w:rPr>
        <w:t>数指应用场景中申请使用的数据目录的字段数量（查询电子证照照面信息时，以照面核心字段的数量为基准进行核算）；记录使用条数指数据模型计算过程中涉及的数据目录的记录数量；模型调用次数指对数据目录进行加工处理后，形成的数据模型的调用次数。</w:t>
      </w:r>
    </w:p>
    <w:p w14:paraId="6819F48F" w14:textId="77777777" w:rsidR="006538D4" w:rsidRPr="006538D4" w:rsidRDefault="006538D4" w:rsidP="002419F5">
      <w:pPr>
        <w:spacing w:line="480" w:lineRule="auto"/>
        <w:ind w:firstLineChars="200" w:firstLine="600"/>
        <w:rPr>
          <w:rFonts w:hint="eastAsia"/>
        </w:rPr>
      </w:pPr>
      <w:r w:rsidRPr="006538D4">
        <w:rPr>
          <w:rFonts w:hint="eastAsia"/>
        </w:rPr>
        <w:t>2.计费模式</w:t>
      </w:r>
    </w:p>
    <w:p w14:paraId="46C7F800" w14:textId="77777777" w:rsidR="006538D4" w:rsidRPr="006538D4" w:rsidRDefault="006538D4" w:rsidP="002419F5">
      <w:pPr>
        <w:spacing w:line="480" w:lineRule="auto"/>
        <w:ind w:firstLineChars="200" w:firstLine="600"/>
        <w:rPr>
          <w:rFonts w:hint="eastAsia"/>
        </w:rPr>
      </w:pPr>
      <w:r w:rsidRPr="006538D4">
        <w:rPr>
          <w:rFonts w:hint="eastAsia"/>
        </w:rPr>
        <w:t>试行期间，技术服务费采用累进阶梯计费模式，并根据不同档位的数据使用量设定相应的上限单价。计费方式采用分档累加计算，即每个档位内的数据使用量与该档位的单价相乘，累加后得出总费用，公式如下：</w:t>
      </w:r>
    </w:p>
    <w:p w14:paraId="008200FB" w14:textId="77777777" w:rsidR="006538D4" w:rsidRPr="006538D4" w:rsidRDefault="006538D4" w:rsidP="002419F5">
      <w:pPr>
        <w:spacing w:line="480" w:lineRule="auto"/>
        <w:ind w:firstLineChars="200" w:firstLine="600"/>
        <w:rPr>
          <w:rFonts w:hint="eastAsia"/>
        </w:rPr>
      </w:pPr>
      <w:r w:rsidRPr="006538D4">
        <w:rPr>
          <w:rFonts w:hint="eastAsia"/>
        </w:rPr>
        <w:t>场景技术服务费总费用=∑(档位内数据调用量×档位单价)</w:t>
      </w:r>
    </w:p>
    <w:p w14:paraId="166C3CA8" w14:textId="77777777" w:rsidR="006538D4" w:rsidRPr="006538D4" w:rsidRDefault="006538D4" w:rsidP="002419F5">
      <w:pPr>
        <w:spacing w:line="480" w:lineRule="auto"/>
        <w:ind w:firstLineChars="200" w:firstLine="600"/>
        <w:rPr>
          <w:rFonts w:hint="eastAsia"/>
        </w:rPr>
      </w:pPr>
      <w:r w:rsidRPr="006538D4">
        <w:rPr>
          <w:rFonts w:hint="eastAsia"/>
        </w:rPr>
        <w:t>（二）</w:t>
      </w:r>
      <w:proofErr w:type="gramStart"/>
      <w:r w:rsidRPr="006538D4">
        <w:rPr>
          <w:rFonts w:hint="eastAsia"/>
        </w:rPr>
        <w:t>存算设施</w:t>
      </w:r>
      <w:proofErr w:type="gramEnd"/>
      <w:r w:rsidRPr="006538D4">
        <w:rPr>
          <w:rFonts w:hint="eastAsia"/>
        </w:rPr>
        <w:t>使用费</w:t>
      </w:r>
    </w:p>
    <w:p w14:paraId="515FB799" w14:textId="77777777" w:rsidR="006538D4" w:rsidRPr="006538D4" w:rsidRDefault="006538D4" w:rsidP="002419F5">
      <w:pPr>
        <w:spacing w:line="480" w:lineRule="auto"/>
        <w:ind w:firstLineChars="200" w:firstLine="600"/>
        <w:rPr>
          <w:rFonts w:hint="eastAsia"/>
        </w:rPr>
      </w:pPr>
      <w:r w:rsidRPr="006538D4">
        <w:rPr>
          <w:rFonts w:hint="eastAsia"/>
        </w:rPr>
        <w:t>对于</w:t>
      </w:r>
      <w:proofErr w:type="gramStart"/>
      <w:r w:rsidRPr="006538D4">
        <w:rPr>
          <w:rFonts w:hint="eastAsia"/>
        </w:rPr>
        <w:t>存算设施</w:t>
      </w:r>
      <w:proofErr w:type="gramEnd"/>
      <w:r w:rsidRPr="006538D4">
        <w:rPr>
          <w:rFonts w:hint="eastAsia"/>
        </w:rPr>
        <w:t>有特殊需求，或基础服务无法满足</w:t>
      </w:r>
      <w:proofErr w:type="gramStart"/>
      <w:r w:rsidRPr="006538D4">
        <w:rPr>
          <w:rFonts w:hint="eastAsia"/>
        </w:rPr>
        <w:t>存算需求</w:t>
      </w:r>
      <w:proofErr w:type="gramEnd"/>
      <w:r w:rsidRPr="006538D4">
        <w:rPr>
          <w:rFonts w:hint="eastAsia"/>
        </w:rPr>
        <w:t>的，数据使用主体可向平台运营单位提出申请，由平台运营单位报请福建省数据管理局审批同意后开通。试行期间计费不收费，计费</w:t>
      </w:r>
      <w:r w:rsidRPr="006538D4">
        <w:rPr>
          <w:rFonts w:hint="eastAsia"/>
        </w:rPr>
        <w:lastRenderedPageBreak/>
        <w:t>标准参照福建省级电子政务</w:t>
      </w:r>
      <w:proofErr w:type="gramStart"/>
      <w:r w:rsidRPr="006538D4">
        <w:rPr>
          <w:rFonts w:hint="eastAsia"/>
        </w:rPr>
        <w:t>云资源</w:t>
      </w:r>
      <w:proofErr w:type="gramEnd"/>
      <w:r w:rsidRPr="006538D4">
        <w:rPr>
          <w:rFonts w:hint="eastAsia"/>
        </w:rPr>
        <w:t>最新单一来源采购结果。</w:t>
      </w:r>
    </w:p>
    <w:p w14:paraId="60134142" w14:textId="77777777" w:rsidR="006538D4" w:rsidRPr="006538D4" w:rsidRDefault="006538D4" w:rsidP="002419F5">
      <w:pPr>
        <w:spacing w:line="480" w:lineRule="auto"/>
        <w:ind w:firstLineChars="200" w:firstLine="600"/>
        <w:rPr>
          <w:rFonts w:hint="eastAsia"/>
        </w:rPr>
      </w:pPr>
      <w:r w:rsidRPr="006538D4">
        <w:rPr>
          <w:rFonts w:hint="eastAsia"/>
        </w:rPr>
        <w:t>四、收费对象</w:t>
      </w:r>
    </w:p>
    <w:p w14:paraId="5DBB6CDF" w14:textId="77777777" w:rsidR="006538D4" w:rsidRPr="006538D4" w:rsidRDefault="006538D4" w:rsidP="002419F5">
      <w:pPr>
        <w:spacing w:line="480" w:lineRule="auto"/>
        <w:ind w:firstLineChars="200" w:firstLine="600"/>
        <w:rPr>
          <w:rFonts w:hint="eastAsia"/>
        </w:rPr>
      </w:pPr>
      <w:r w:rsidRPr="006538D4">
        <w:rPr>
          <w:rFonts w:hint="eastAsia"/>
        </w:rPr>
        <w:t>本规则收费对象为依托福建省公共数据资源开发服务平台开展公共数据开发利用场景建设的数据使用主体（或其委托代理）。除另有约定外，平台运营单位有权依据公共数据运营服务费试行收费标准，按照应用场景实际发生的数据使用量及额外</w:t>
      </w:r>
      <w:proofErr w:type="gramStart"/>
      <w:r w:rsidRPr="006538D4">
        <w:rPr>
          <w:rFonts w:hint="eastAsia"/>
        </w:rPr>
        <w:t>存算资源</w:t>
      </w:r>
      <w:proofErr w:type="gramEnd"/>
      <w:r w:rsidRPr="006538D4">
        <w:rPr>
          <w:rFonts w:hint="eastAsia"/>
        </w:rPr>
        <w:t>使用情况，与数据使用主体据实结算。</w:t>
      </w:r>
    </w:p>
    <w:p w14:paraId="7A4C966D" w14:textId="77777777" w:rsidR="006538D4" w:rsidRPr="006538D4" w:rsidRDefault="006538D4" w:rsidP="002419F5">
      <w:pPr>
        <w:spacing w:line="480" w:lineRule="auto"/>
        <w:ind w:firstLineChars="200" w:firstLine="600"/>
        <w:rPr>
          <w:rFonts w:hint="eastAsia"/>
        </w:rPr>
      </w:pPr>
      <w:r w:rsidRPr="006538D4">
        <w:rPr>
          <w:rFonts w:hint="eastAsia"/>
        </w:rPr>
        <w:t>五、优惠政策</w:t>
      </w:r>
    </w:p>
    <w:p w14:paraId="6733D79F" w14:textId="77777777" w:rsidR="006538D4" w:rsidRPr="006538D4" w:rsidRDefault="006538D4" w:rsidP="002419F5">
      <w:pPr>
        <w:spacing w:line="480" w:lineRule="auto"/>
        <w:ind w:firstLineChars="200" w:firstLine="600"/>
        <w:rPr>
          <w:rFonts w:hint="eastAsia"/>
        </w:rPr>
      </w:pPr>
      <w:r w:rsidRPr="006538D4">
        <w:rPr>
          <w:rFonts w:hint="eastAsia"/>
        </w:rPr>
        <w:t>坚持公共</w:t>
      </w:r>
      <w:proofErr w:type="gramStart"/>
      <w:r w:rsidRPr="006538D4">
        <w:rPr>
          <w:rFonts w:hint="eastAsia"/>
        </w:rPr>
        <w:t>数据公益</w:t>
      </w:r>
      <w:proofErr w:type="gramEnd"/>
      <w:r w:rsidRPr="006538D4">
        <w:rPr>
          <w:rFonts w:hint="eastAsia"/>
        </w:rPr>
        <w:t>属性。用于公益事业的公共数据应用场景无偿使用，不收取技术服务费；用于省内重点扶持的公共数据应用场景优惠使用，对技术服务费部分予以折扣（政府部门、国有企事业单位和相关机构为履行法定职责，申请公共数据用于公共治理场景的，原则上应当通过省公共数据汇聚共享平台申请使用相关数据）。</w:t>
      </w:r>
    </w:p>
    <w:p w14:paraId="4AE3CAB3" w14:textId="77777777" w:rsidR="006538D4" w:rsidRPr="006538D4" w:rsidRDefault="006538D4" w:rsidP="002419F5">
      <w:pPr>
        <w:spacing w:line="480" w:lineRule="auto"/>
        <w:ind w:firstLineChars="200" w:firstLine="600"/>
        <w:rPr>
          <w:rFonts w:hint="eastAsia"/>
        </w:rPr>
      </w:pPr>
      <w:r w:rsidRPr="006538D4">
        <w:rPr>
          <w:rFonts w:hint="eastAsia"/>
        </w:rPr>
        <w:t>（一）无偿使用的场景范围</w:t>
      </w:r>
    </w:p>
    <w:p w14:paraId="1FE40A00" w14:textId="77777777" w:rsidR="006538D4" w:rsidRPr="006538D4" w:rsidRDefault="006538D4" w:rsidP="002419F5">
      <w:pPr>
        <w:spacing w:line="480" w:lineRule="auto"/>
        <w:ind w:firstLineChars="200" w:firstLine="600"/>
        <w:rPr>
          <w:rFonts w:hint="eastAsia"/>
        </w:rPr>
      </w:pPr>
      <w:r w:rsidRPr="006538D4">
        <w:rPr>
          <w:rFonts w:hint="eastAsia"/>
        </w:rPr>
        <w:t>公益事业场景。根据《中华人民共和国公益事业捐赠法》，公益事业应用场景是由数据使用主体通过提供非营利性数据服</w:t>
      </w:r>
      <w:r w:rsidRPr="006538D4">
        <w:rPr>
          <w:rFonts w:hint="eastAsia"/>
        </w:rPr>
        <w:lastRenderedPageBreak/>
        <w:t>务开展的下列活动：</w:t>
      </w:r>
    </w:p>
    <w:p w14:paraId="0A6054BB" w14:textId="77777777" w:rsidR="006538D4" w:rsidRPr="006538D4" w:rsidRDefault="006538D4" w:rsidP="002419F5">
      <w:pPr>
        <w:spacing w:line="480" w:lineRule="auto"/>
        <w:ind w:firstLineChars="200" w:firstLine="600"/>
        <w:rPr>
          <w:rFonts w:hint="eastAsia"/>
        </w:rPr>
      </w:pPr>
      <w:r w:rsidRPr="006538D4">
        <w:rPr>
          <w:rFonts w:hint="eastAsia"/>
        </w:rPr>
        <w:t>（1）救助灾害、救济贫困、扶助残疾人等困难的社会群体和个人的活动；</w:t>
      </w:r>
    </w:p>
    <w:p w14:paraId="2C9F3C49" w14:textId="77777777" w:rsidR="006538D4" w:rsidRPr="006538D4" w:rsidRDefault="006538D4" w:rsidP="002419F5">
      <w:pPr>
        <w:spacing w:line="480" w:lineRule="auto"/>
        <w:ind w:firstLineChars="200" w:firstLine="600"/>
        <w:rPr>
          <w:rFonts w:hint="eastAsia"/>
        </w:rPr>
      </w:pPr>
      <w:r w:rsidRPr="006538D4">
        <w:rPr>
          <w:rFonts w:hint="eastAsia"/>
        </w:rPr>
        <w:t>（2）教育、科学、文化、卫生、体育事业；</w:t>
      </w:r>
    </w:p>
    <w:p w14:paraId="73D898C1" w14:textId="77777777" w:rsidR="006538D4" w:rsidRPr="006538D4" w:rsidRDefault="006538D4" w:rsidP="002419F5">
      <w:pPr>
        <w:spacing w:line="480" w:lineRule="auto"/>
        <w:ind w:firstLineChars="200" w:firstLine="600"/>
        <w:rPr>
          <w:rFonts w:hint="eastAsia"/>
        </w:rPr>
      </w:pPr>
      <w:r w:rsidRPr="006538D4">
        <w:rPr>
          <w:rFonts w:hint="eastAsia"/>
        </w:rPr>
        <w:t>（3）环境保护、社会公共设施建设；</w:t>
      </w:r>
    </w:p>
    <w:p w14:paraId="576914F4" w14:textId="77777777" w:rsidR="006538D4" w:rsidRPr="006538D4" w:rsidRDefault="006538D4" w:rsidP="002419F5">
      <w:pPr>
        <w:spacing w:line="480" w:lineRule="auto"/>
        <w:ind w:firstLineChars="200" w:firstLine="600"/>
        <w:rPr>
          <w:rFonts w:hint="eastAsia"/>
        </w:rPr>
      </w:pPr>
      <w:r w:rsidRPr="006538D4">
        <w:rPr>
          <w:rFonts w:hint="eastAsia"/>
        </w:rPr>
        <w:t>（4）促进社会发展和进步的其他社会公共和福利事业。</w:t>
      </w:r>
    </w:p>
    <w:p w14:paraId="7555C3C2" w14:textId="77777777" w:rsidR="006538D4" w:rsidRPr="006538D4" w:rsidRDefault="006538D4" w:rsidP="002419F5">
      <w:pPr>
        <w:spacing w:line="480" w:lineRule="auto"/>
        <w:ind w:firstLineChars="200" w:firstLine="600"/>
        <w:rPr>
          <w:rFonts w:hint="eastAsia"/>
        </w:rPr>
      </w:pPr>
      <w:r w:rsidRPr="006538D4">
        <w:rPr>
          <w:rFonts w:hint="eastAsia"/>
        </w:rPr>
        <w:t>（二）优惠使用的场景范围</w:t>
      </w:r>
    </w:p>
    <w:p w14:paraId="7643D1A0" w14:textId="77777777" w:rsidR="006538D4" w:rsidRPr="006538D4" w:rsidRDefault="006538D4" w:rsidP="002419F5">
      <w:pPr>
        <w:spacing w:line="480" w:lineRule="auto"/>
        <w:ind w:firstLineChars="200" w:firstLine="600"/>
        <w:rPr>
          <w:rFonts w:hint="eastAsia"/>
        </w:rPr>
      </w:pPr>
      <w:r w:rsidRPr="006538D4">
        <w:rPr>
          <w:rFonts w:hint="eastAsia"/>
        </w:rPr>
        <w:t>重点扶持应用场景。对列入福建省重点扶持的公共数据应用场景予以一定费用优惠，具体折扣系数由平台运营单位根据审核结果确定。</w:t>
      </w:r>
    </w:p>
    <w:p w14:paraId="22CDD38C" w14:textId="77777777" w:rsidR="006538D4" w:rsidRPr="006538D4" w:rsidRDefault="006538D4" w:rsidP="002419F5">
      <w:pPr>
        <w:spacing w:line="480" w:lineRule="auto"/>
        <w:ind w:firstLineChars="200" w:firstLine="600"/>
        <w:rPr>
          <w:rFonts w:hint="eastAsia"/>
        </w:rPr>
      </w:pPr>
      <w:r w:rsidRPr="006538D4">
        <w:rPr>
          <w:rFonts w:hint="eastAsia"/>
        </w:rPr>
        <w:t>（三）认定程序</w:t>
      </w:r>
    </w:p>
    <w:p w14:paraId="4D397567" w14:textId="77777777" w:rsidR="006538D4" w:rsidRPr="006538D4" w:rsidRDefault="006538D4" w:rsidP="002419F5">
      <w:pPr>
        <w:spacing w:line="480" w:lineRule="auto"/>
        <w:ind w:firstLineChars="200" w:firstLine="600"/>
        <w:rPr>
          <w:rFonts w:hint="eastAsia"/>
        </w:rPr>
      </w:pPr>
      <w:r w:rsidRPr="006538D4">
        <w:rPr>
          <w:rFonts w:hint="eastAsia"/>
        </w:rPr>
        <w:t>无偿及优惠使用场景的认定采取“自证+审核”形式。申请者应当根据实际使用用途，向平台运营单位提交公共数据使用申请材料自证材料。平台运营单位根据申请材料，经审核后确认纳入无偿或优惠使用场景。</w:t>
      </w:r>
    </w:p>
    <w:p w14:paraId="3059DE90" w14:textId="77777777" w:rsidR="006538D4" w:rsidRPr="006538D4" w:rsidRDefault="006538D4" w:rsidP="002419F5">
      <w:pPr>
        <w:spacing w:line="480" w:lineRule="auto"/>
        <w:ind w:firstLineChars="200" w:firstLine="600"/>
        <w:rPr>
          <w:rFonts w:hint="eastAsia"/>
        </w:rPr>
      </w:pPr>
      <w:r w:rsidRPr="006538D4">
        <w:rPr>
          <w:rFonts w:hint="eastAsia"/>
        </w:rPr>
        <w:t>（四）监督形式</w:t>
      </w:r>
    </w:p>
    <w:p w14:paraId="02BC149B" w14:textId="77777777" w:rsidR="006538D4" w:rsidRPr="006538D4" w:rsidRDefault="006538D4" w:rsidP="002419F5">
      <w:pPr>
        <w:spacing w:line="480" w:lineRule="auto"/>
        <w:ind w:firstLineChars="200" w:firstLine="600"/>
        <w:rPr>
          <w:rFonts w:hint="eastAsia"/>
        </w:rPr>
      </w:pPr>
      <w:r w:rsidRPr="006538D4">
        <w:rPr>
          <w:rFonts w:hint="eastAsia"/>
        </w:rPr>
        <w:t>对纳入无偿或优惠使用的应用场景，数据使用主体有义务定</w:t>
      </w:r>
      <w:r w:rsidRPr="006538D4">
        <w:rPr>
          <w:rFonts w:hint="eastAsia"/>
        </w:rPr>
        <w:lastRenderedPageBreak/>
        <w:t>期向平台运营单位反馈数据应用情况，包括应用领域、应用区域、应用群体、效益状况等信息，并在开发服务平台进行公示，接受社会监督。</w:t>
      </w:r>
    </w:p>
    <w:p w14:paraId="046F2D11" w14:textId="77777777" w:rsidR="006538D4" w:rsidRPr="006538D4" w:rsidRDefault="006538D4" w:rsidP="002419F5">
      <w:pPr>
        <w:spacing w:line="480" w:lineRule="auto"/>
        <w:ind w:firstLineChars="200" w:firstLine="600"/>
        <w:rPr>
          <w:rFonts w:hint="eastAsia"/>
        </w:rPr>
      </w:pPr>
      <w:r w:rsidRPr="006538D4">
        <w:rPr>
          <w:rFonts w:hint="eastAsia"/>
        </w:rPr>
        <w:t>平台运营单位将不定期对场景情况进行核查，对存在不实或欺诈使用行为的数据使用主体，实施相应的信用惩罚措施，并向数据管理等有关部门报备。</w:t>
      </w:r>
    </w:p>
    <w:p w14:paraId="3820A5D8" w14:textId="77777777" w:rsidR="006538D4" w:rsidRPr="006538D4" w:rsidRDefault="006538D4" w:rsidP="002419F5">
      <w:pPr>
        <w:spacing w:line="480" w:lineRule="auto"/>
        <w:ind w:firstLineChars="200" w:firstLine="600"/>
        <w:rPr>
          <w:rFonts w:hint="eastAsia"/>
        </w:rPr>
      </w:pPr>
      <w:r w:rsidRPr="006538D4">
        <w:rPr>
          <w:rFonts w:hint="eastAsia"/>
        </w:rPr>
        <w:t>六、其他事项</w:t>
      </w:r>
    </w:p>
    <w:p w14:paraId="57871092" w14:textId="77777777" w:rsidR="006538D4" w:rsidRPr="006538D4" w:rsidRDefault="006538D4" w:rsidP="002419F5">
      <w:pPr>
        <w:spacing w:line="480" w:lineRule="auto"/>
        <w:ind w:firstLineChars="200" w:firstLine="600"/>
        <w:rPr>
          <w:rFonts w:hint="eastAsia"/>
        </w:rPr>
      </w:pPr>
      <w:r w:rsidRPr="006538D4">
        <w:rPr>
          <w:rFonts w:hint="eastAsia"/>
        </w:rPr>
        <w:t>供水、供电、供气、公共交通等公用企业通过省公共数据资源开发服务平台提供数据服务时，收费标准由公用企业在兼顾公共数据公益性与营利性的基础上，参考公共数据运营服务费收费方式制定，与平台运营单位协商确定收费分成比例。</w:t>
      </w:r>
    </w:p>
    <w:p w14:paraId="73939C09" w14:textId="77777777" w:rsidR="006538D4" w:rsidRPr="006538D4" w:rsidRDefault="006538D4" w:rsidP="002419F5">
      <w:pPr>
        <w:spacing w:line="480" w:lineRule="auto"/>
        <w:ind w:firstLineChars="200" w:firstLine="600"/>
        <w:rPr>
          <w:rFonts w:hint="eastAsia"/>
        </w:rPr>
      </w:pPr>
      <w:r w:rsidRPr="006538D4">
        <w:rPr>
          <w:rFonts w:hint="eastAsia"/>
        </w:rPr>
        <w:t>七、附则</w:t>
      </w:r>
    </w:p>
    <w:p w14:paraId="5426BD4A" w14:textId="0036AE43" w:rsidR="009B7475" w:rsidRPr="009B7475" w:rsidRDefault="006538D4" w:rsidP="002419F5">
      <w:pPr>
        <w:spacing w:line="480" w:lineRule="auto"/>
        <w:ind w:firstLineChars="200" w:firstLine="600"/>
        <w:rPr>
          <w:rFonts w:hint="eastAsia"/>
        </w:rPr>
      </w:pPr>
      <w:r w:rsidRPr="006538D4">
        <w:rPr>
          <w:rFonts w:hint="eastAsia"/>
        </w:rPr>
        <w:t>试行收费标准由福建大数据一级开发有限公司负责解释。</w:t>
      </w:r>
    </w:p>
    <w:sectPr w:rsidR="009B7475" w:rsidRPr="009B7475" w:rsidSect="005F182C">
      <w:pgSz w:w="11906" w:h="16838"/>
      <w:pgMar w:top="1440" w:right="1800" w:bottom="1440" w:left="1800" w:header="850" w:footer="283"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3FE0C" w14:textId="77777777" w:rsidR="008E74AB" w:rsidRDefault="008E74AB" w:rsidP="0096114C">
      <w:pPr>
        <w:rPr>
          <w:rFonts w:hint="eastAsia"/>
        </w:rPr>
      </w:pPr>
      <w:r>
        <w:separator/>
      </w:r>
    </w:p>
  </w:endnote>
  <w:endnote w:type="continuationSeparator" w:id="0">
    <w:p w14:paraId="2124B7E4" w14:textId="77777777" w:rsidR="008E74AB" w:rsidRDefault="008E74AB" w:rsidP="0096114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楷体_GBK">
    <w:altName w:val="微软雅黑"/>
    <w:charset w:val="86"/>
    <w:family w:val="script"/>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9617" w14:textId="77777777" w:rsidR="009C20DC" w:rsidRDefault="009C20DC">
    <w:pPr>
      <w:pStyle w:val="ab"/>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2204404"/>
      <w:docPartObj>
        <w:docPartGallery w:val="Page Numbers (Bottom of Page)"/>
        <w:docPartUnique/>
      </w:docPartObj>
    </w:sdtPr>
    <w:sdtContent>
      <w:p w14:paraId="502CFA50" w14:textId="77777777" w:rsidR="009C20DC" w:rsidRDefault="002B6E15" w:rsidP="009C20DC">
        <w:pPr>
          <w:pStyle w:val="ab"/>
          <w:jc w:val="center"/>
          <w:rPr>
            <w:rFonts w:hint="eastAsia"/>
          </w:rPr>
        </w:pPr>
        <w:r>
          <w:rPr>
            <w:rFonts w:hint="eastAsia"/>
          </w:rPr>
          <w:t>—</w:t>
        </w:r>
        <w:r w:rsidR="009C20DC">
          <w:fldChar w:fldCharType="begin"/>
        </w:r>
        <w:r w:rsidR="009C20DC">
          <w:instrText>PAGE   \* MERGEFORMAT</w:instrText>
        </w:r>
        <w:r w:rsidR="009C20DC">
          <w:fldChar w:fldCharType="separate"/>
        </w:r>
        <w:r w:rsidR="009C20DC">
          <w:rPr>
            <w:lang w:val="zh-CN"/>
          </w:rPr>
          <w:t>2</w:t>
        </w:r>
        <w:r w:rsidR="009C20DC">
          <w:fldChar w:fldCharType="end"/>
        </w:r>
        <w:r>
          <w:rPr>
            <w:rFonts w:hint="eastAsia"/>
          </w:rPr>
          <w:t>—</w:t>
        </w:r>
      </w:p>
    </w:sdtContent>
  </w:sdt>
  <w:p w14:paraId="688BC05A" w14:textId="77777777" w:rsidR="009C20DC" w:rsidRDefault="009C20DC">
    <w:pPr>
      <w:pStyle w:val="ab"/>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576C8" w14:textId="77777777" w:rsidR="009C20DC" w:rsidRDefault="009C20DC">
    <w:pPr>
      <w:pStyle w:val="ab"/>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E22E6" w14:textId="77777777" w:rsidR="008E74AB" w:rsidRDefault="008E74AB" w:rsidP="0096114C">
      <w:pPr>
        <w:rPr>
          <w:rFonts w:hint="eastAsia"/>
        </w:rPr>
      </w:pPr>
      <w:r>
        <w:separator/>
      </w:r>
    </w:p>
  </w:footnote>
  <w:footnote w:type="continuationSeparator" w:id="0">
    <w:p w14:paraId="0D536411" w14:textId="77777777" w:rsidR="008E74AB" w:rsidRDefault="008E74AB" w:rsidP="0096114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879D7" w14:textId="77777777" w:rsidR="009C20DC" w:rsidRDefault="009C20DC">
    <w:pPr>
      <w:pStyle w:val="a9"/>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8C005" w14:textId="77777777" w:rsidR="009C20DC" w:rsidRDefault="009C20DC">
    <w:pPr>
      <w:pStyle w:val="a9"/>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F2D05" w14:textId="77777777" w:rsidR="009C20DC" w:rsidRDefault="009C20DC">
    <w:pPr>
      <w:pStyle w:val="a9"/>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D4"/>
    <w:rsid w:val="000009B2"/>
    <w:rsid w:val="00007E37"/>
    <w:rsid w:val="000168C4"/>
    <w:rsid w:val="000315A2"/>
    <w:rsid w:val="00044C39"/>
    <w:rsid w:val="0005607E"/>
    <w:rsid w:val="000578B7"/>
    <w:rsid w:val="00060F91"/>
    <w:rsid w:val="00073D3A"/>
    <w:rsid w:val="00091309"/>
    <w:rsid w:val="00095CC0"/>
    <w:rsid w:val="000A1393"/>
    <w:rsid w:val="000D308E"/>
    <w:rsid w:val="000F0446"/>
    <w:rsid w:val="000F27EA"/>
    <w:rsid w:val="00107066"/>
    <w:rsid w:val="00110B86"/>
    <w:rsid w:val="00165B15"/>
    <w:rsid w:val="0016733C"/>
    <w:rsid w:val="00196A3C"/>
    <w:rsid w:val="001A618E"/>
    <w:rsid w:val="001D3021"/>
    <w:rsid w:val="001E3CF5"/>
    <w:rsid w:val="002008A9"/>
    <w:rsid w:val="00210FE3"/>
    <w:rsid w:val="00217C6E"/>
    <w:rsid w:val="002419F5"/>
    <w:rsid w:val="00273D1B"/>
    <w:rsid w:val="00296529"/>
    <w:rsid w:val="00296DFA"/>
    <w:rsid w:val="0029789A"/>
    <w:rsid w:val="002B038B"/>
    <w:rsid w:val="002B3633"/>
    <w:rsid w:val="002B6E15"/>
    <w:rsid w:val="002C0940"/>
    <w:rsid w:val="002E2B49"/>
    <w:rsid w:val="002E5C7F"/>
    <w:rsid w:val="002F5836"/>
    <w:rsid w:val="0032638D"/>
    <w:rsid w:val="003344AF"/>
    <w:rsid w:val="003461B4"/>
    <w:rsid w:val="0035455E"/>
    <w:rsid w:val="00355E79"/>
    <w:rsid w:val="00365D84"/>
    <w:rsid w:val="003676A1"/>
    <w:rsid w:val="00396AC2"/>
    <w:rsid w:val="003A1394"/>
    <w:rsid w:val="003B19EA"/>
    <w:rsid w:val="003C021F"/>
    <w:rsid w:val="003C0FDC"/>
    <w:rsid w:val="003C33E4"/>
    <w:rsid w:val="003E3E4E"/>
    <w:rsid w:val="003E7D6C"/>
    <w:rsid w:val="003F10F6"/>
    <w:rsid w:val="00401179"/>
    <w:rsid w:val="0042709D"/>
    <w:rsid w:val="00441E0F"/>
    <w:rsid w:val="00445ED5"/>
    <w:rsid w:val="00453878"/>
    <w:rsid w:val="004912F9"/>
    <w:rsid w:val="00497ED0"/>
    <w:rsid w:val="004E0C00"/>
    <w:rsid w:val="004F1C6F"/>
    <w:rsid w:val="00500787"/>
    <w:rsid w:val="00500C28"/>
    <w:rsid w:val="005117F6"/>
    <w:rsid w:val="0052570E"/>
    <w:rsid w:val="00541B63"/>
    <w:rsid w:val="00547A9C"/>
    <w:rsid w:val="00552A01"/>
    <w:rsid w:val="005F182C"/>
    <w:rsid w:val="005F2107"/>
    <w:rsid w:val="006028E8"/>
    <w:rsid w:val="00622F83"/>
    <w:rsid w:val="006538D4"/>
    <w:rsid w:val="00655EEF"/>
    <w:rsid w:val="006609CF"/>
    <w:rsid w:val="006B40FB"/>
    <w:rsid w:val="006B66F9"/>
    <w:rsid w:val="006D3D64"/>
    <w:rsid w:val="006D5051"/>
    <w:rsid w:val="006F5A4F"/>
    <w:rsid w:val="007044F5"/>
    <w:rsid w:val="00735CEC"/>
    <w:rsid w:val="007403E5"/>
    <w:rsid w:val="007822B2"/>
    <w:rsid w:val="007B7533"/>
    <w:rsid w:val="007B7EFE"/>
    <w:rsid w:val="00803F63"/>
    <w:rsid w:val="00816823"/>
    <w:rsid w:val="0082323D"/>
    <w:rsid w:val="008320C8"/>
    <w:rsid w:val="008B17D3"/>
    <w:rsid w:val="008E29E6"/>
    <w:rsid w:val="008E6805"/>
    <w:rsid w:val="008E74AB"/>
    <w:rsid w:val="00905487"/>
    <w:rsid w:val="00925A2C"/>
    <w:rsid w:val="009606C1"/>
    <w:rsid w:val="0096114C"/>
    <w:rsid w:val="00962E8F"/>
    <w:rsid w:val="009B7475"/>
    <w:rsid w:val="009C20DC"/>
    <w:rsid w:val="009D6FAB"/>
    <w:rsid w:val="009E48AB"/>
    <w:rsid w:val="00A027C3"/>
    <w:rsid w:val="00A03188"/>
    <w:rsid w:val="00A15450"/>
    <w:rsid w:val="00A6031C"/>
    <w:rsid w:val="00A64F9A"/>
    <w:rsid w:val="00A67F32"/>
    <w:rsid w:val="00A71BF1"/>
    <w:rsid w:val="00A71ED1"/>
    <w:rsid w:val="00A72CDE"/>
    <w:rsid w:val="00A82F4D"/>
    <w:rsid w:val="00A84BC5"/>
    <w:rsid w:val="00AA6979"/>
    <w:rsid w:val="00AC1F81"/>
    <w:rsid w:val="00AF7F2D"/>
    <w:rsid w:val="00B1318D"/>
    <w:rsid w:val="00B3677B"/>
    <w:rsid w:val="00B701E0"/>
    <w:rsid w:val="00B737E7"/>
    <w:rsid w:val="00B90E35"/>
    <w:rsid w:val="00B9261C"/>
    <w:rsid w:val="00B92B8E"/>
    <w:rsid w:val="00BE3327"/>
    <w:rsid w:val="00C13861"/>
    <w:rsid w:val="00C45D00"/>
    <w:rsid w:val="00C845B9"/>
    <w:rsid w:val="00C85B28"/>
    <w:rsid w:val="00C90249"/>
    <w:rsid w:val="00CB3F03"/>
    <w:rsid w:val="00CB7D46"/>
    <w:rsid w:val="00CE5273"/>
    <w:rsid w:val="00CE6026"/>
    <w:rsid w:val="00D13466"/>
    <w:rsid w:val="00D73B9B"/>
    <w:rsid w:val="00D92D03"/>
    <w:rsid w:val="00DA57E4"/>
    <w:rsid w:val="00DA7C2C"/>
    <w:rsid w:val="00DB3A06"/>
    <w:rsid w:val="00DB7F1A"/>
    <w:rsid w:val="00DC0FBC"/>
    <w:rsid w:val="00DF0023"/>
    <w:rsid w:val="00E0606D"/>
    <w:rsid w:val="00E413BB"/>
    <w:rsid w:val="00E44C6A"/>
    <w:rsid w:val="00E5080B"/>
    <w:rsid w:val="00E57F4D"/>
    <w:rsid w:val="00E63B5C"/>
    <w:rsid w:val="00E71CAD"/>
    <w:rsid w:val="00E72748"/>
    <w:rsid w:val="00E746D2"/>
    <w:rsid w:val="00E87BAD"/>
    <w:rsid w:val="00EC27B3"/>
    <w:rsid w:val="00F00AB4"/>
    <w:rsid w:val="00F32B66"/>
    <w:rsid w:val="00F33ACC"/>
    <w:rsid w:val="00F429B4"/>
    <w:rsid w:val="00F73E57"/>
    <w:rsid w:val="00FC4B79"/>
    <w:rsid w:val="00FD4F9D"/>
    <w:rsid w:val="00FE6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D464F"/>
  <w15:chartTrackingRefBased/>
  <w15:docId w15:val="{C47ECA77-A98B-4EC5-9D3E-EED40029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023"/>
    <w:pPr>
      <w:widowControl w:val="0"/>
      <w:spacing w:after="0" w:line="500" w:lineRule="exact"/>
      <w:jc w:val="both"/>
    </w:pPr>
    <w:rPr>
      <w:rFonts w:ascii="方正仿宋_GBK" w:eastAsia="方正仿宋_GBK"/>
      <w:sz w:val="30"/>
    </w:rPr>
  </w:style>
  <w:style w:type="paragraph" w:styleId="1">
    <w:name w:val="heading 1"/>
    <w:basedOn w:val="a"/>
    <w:next w:val="a"/>
    <w:link w:val="10"/>
    <w:uiPriority w:val="9"/>
    <w:qFormat/>
    <w:rsid w:val="0016733C"/>
    <w:pPr>
      <w:keepNext/>
      <w:keepLines/>
      <w:spacing w:line="580" w:lineRule="exact"/>
      <w:ind w:firstLineChars="200" w:firstLine="200"/>
      <w:outlineLvl w:val="0"/>
    </w:pPr>
    <w:rPr>
      <w:rFonts w:ascii="方正黑体_GBK" w:eastAsia="方正黑体_GBK"/>
      <w:b/>
      <w:bCs/>
      <w:kern w:val="44"/>
      <w:sz w:val="32"/>
      <w:szCs w:val="44"/>
    </w:rPr>
  </w:style>
  <w:style w:type="paragraph" w:styleId="2">
    <w:name w:val="heading 2"/>
    <w:basedOn w:val="a"/>
    <w:next w:val="a"/>
    <w:link w:val="20"/>
    <w:uiPriority w:val="9"/>
    <w:unhideWhenUsed/>
    <w:qFormat/>
    <w:rsid w:val="009B7475"/>
    <w:pPr>
      <w:keepNext/>
      <w:keepLines/>
      <w:spacing w:line="560" w:lineRule="exact"/>
      <w:ind w:firstLineChars="200" w:firstLine="200"/>
      <w:outlineLvl w:val="1"/>
    </w:pPr>
    <w:rPr>
      <w:rFonts w:ascii="方正黑体_GBK" w:eastAsia="方正黑体_GBK" w:hAnsiTheme="majorHAnsi" w:cstheme="majorBidi"/>
      <w:b/>
      <w:bCs/>
      <w:szCs w:val="32"/>
    </w:rPr>
  </w:style>
  <w:style w:type="paragraph" w:styleId="3">
    <w:name w:val="heading 3"/>
    <w:basedOn w:val="a"/>
    <w:next w:val="a"/>
    <w:link w:val="30"/>
    <w:uiPriority w:val="9"/>
    <w:unhideWhenUsed/>
    <w:qFormat/>
    <w:rsid w:val="009B7475"/>
    <w:pPr>
      <w:keepNext/>
      <w:keepLines/>
      <w:spacing w:line="520" w:lineRule="exact"/>
      <w:ind w:firstLineChars="200" w:firstLine="200"/>
      <w:outlineLvl w:val="2"/>
    </w:pPr>
    <w:rPr>
      <w:rFonts w:ascii="方正楷体_GBK" w:eastAsia="方正楷体_GBK"/>
      <w:b/>
      <w:bCs/>
      <w:szCs w:val="32"/>
    </w:rPr>
  </w:style>
  <w:style w:type="paragraph" w:styleId="4">
    <w:name w:val="heading 4"/>
    <w:basedOn w:val="a"/>
    <w:next w:val="a"/>
    <w:link w:val="40"/>
    <w:uiPriority w:val="9"/>
    <w:unhideWhenUsed/>
    <w:qFormat/>
    <w:rsid w:val="009B7475"/>
    <w:pPr>
      <w:keepNext/>
      <w:keepLines/>
      <w:spacing w:line="520" w:lineRule="exact"/>
      <w:ind w:firstLineChars="200" w:firstLine="200"/>
      <w:outlineLvl w:val="3"/>
    </w:pPr>
    <w:rPr>
      <w:rFonts w:hAnsiTheme="majorHAnsi" w:cstheme="majorBidi"/>
      <w:bCs/>
      <w:szCs w:val="28"/>
    </w:rPr>
  </w:style>
  <w:style w:type="paragraph" w:styleId="5">
    <w:name w:val="heading 5"/>
    <w:basedOn w:val="a"/>
    <w:next w:val="a"/>
    <w:link w:val="50"/>
    <w:uiPriority w:val="9"/>
    <w:semiHidden/>
    <w:unhideWhenUsed/>
    <w:qFormat/>
    <w:rsid w:val="006538D4"/>
    <w:pPr>
      <w:keepNext/>
      <w:keepLines/>
      <w:spacing w:before="80" w:after="40"/>
      <w:outlineLvl w:val="4"/>
    </w:pPr>
    <w:rPr>
      <w:rFonts w:asciiTheme="minorHAnsi" w:eastAsiaTheme="minorEastAsia" w:cstheme="majorBidi"/>
      <w:color w:val="0F4761" w:themeColor="accent1" w:themeShade="BF"/>
      <w:sz w:val="24"/>
      <w:szCs w:val="24"/>
    </w:rPr>
  </w:style>
  <w:style w:type="paragraph" w:styleId="6">
    <w:name w:val="heading 6"/>
    <w:basedOn w:val="a"/>
    <w:next w:val="a"/>
    <w:link w:val="60"/>
    <w:uiPriority w:val="9"/>
    <w:semiHidden/>
    <w:unhideWhenUsed/>
    <w:qFormat/>
    <w:rsid w:val="006538D4"/>
    <w:pPr>
      <w:keepNext/>
      <w:keepLines/>
      <w:spacing w:before="40"/>
      <w:outlineLvl w:val="5"/>
    </w:pPr>
    <w:rPr>
      <w:rFonts w:asciiTheme="minorHAnsi" w:eastAsiaTheme="minorEastAsia" w:cstheme="majorBidi"/>
      <w:b/>
      <w:bCs/>
      <w:color w:val="0F4761" w:themeColor="accent1" w:themeShade="BF"/>
    </w:rPr>
  </w:style>
  <w:style w:type="paragraph" w:styleId="7">
    <w:name w:val="heading 7"/>
    <w:basedOn w:val="a"/>
    <w:next w:val="a"/>
    <w:link w:val="70"/>
    <w:uiPriority w:val="9"/>
    <w:semiHidden/>
    <w:unhideWhenUsed/>
    <w:qFormat/>
    <w:rsid w:val="006538D4"/>
    <w:pPr>
      <w:keepNext/>
      <w:keepLines/>
      <w:spacing w:before="40"/>
      <w:outlineLvl w:val="6"/>
    </w:pPr>
    <w:rPr>
      <w:rFonts w:asciiTheme="minorHAnsi" w:eastAsiaTheme="minorEastAsia" w:cstheme="majorBidi"/>
      <w:b/>
      <w:bCs/>
      <w:color w:val="595959" w:themeColor="text1" w:themeTint="A6"/>
    </w:rPr>
  </w:style>
  <w:style w:type="paragraph" w:styleId="8">
    <w:name w:val="heading 8"/>
    <w:basedOn w:val="a"/>
    <w:next w:val="a"/>
    <w:link w:val="80"/>
    <w:uiPriority w:val="9"/>
    <w:semiHidden/>
    <w:unhideWhenUsed/>
    <w:qFormat/>
    <w:rsid w:val="006538D4"/>
    <w:pPr>
      <w:keepNext/>
      <w:keepLines/>
      <w:outlineLvl w:val="7"/>
    </w:pPr>
    <w:rPr>
      <w:rFonts w:asciiTheme="minorHAnsi" w:eastAsiaTheme="minorEastAsia" w:cstheme="majorBidi"/>
      <w:color w:val="595959" w:themeColor="text1" w:themeTint="A6"/>
    </w:rPr>
  </w:style>
  <w:style w:type="paragraph" w:styleId="9">
    <w:name w:val="heading 9"/>
    <w:basedOn w:val="a"/>
    <w:next w:val="a"/>
    <w:link w:val="90"/>
    <w:uiPriority w:val="9"/>
    <w:semiHidden/>
    <w:unhideWhenUsed/>
    <w:qFormat/>
    <w:rsid w:val="006538D4"/>
    <w:pPr>
      <w:keepNext/>
      <w:keepLines/>
      <w:outlineLvl w:val="8"/>
    </w:pPr>
    <w:rPr>
      <w:rFonts w:asciiTheme="minorHAnsi"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33C"/>
    <w:rPr>
      <w:rFonts w:ascii="方正黑体_GBK" w:eastAsia="方正黑体_GBK"/>
      <w:b/>
      <w:bCs/>
      <w:kern w:val="44"/>
      <w:sz w:val="32"/>
      <w:szCs w:val="44"/>
    </w:rPr>
  </w:style>
  <w:style w:type="paragraph" w:styleId="a3">
    <w:name w:val="Body Text"/>
    <w:basedOn w:val="a"/>
    <w:link w:val="a4"/>
    <w:uiPriority w:val="99"/>
    <w:semiHidden/>
    <w:unhideWhenUsed/>
    <w:rsid w:val="002E5C7F"/>
    <w:pPr>
      <w:spacing w:after="120"/>
    </w:pPr>
  </w:style>
  <w:style w:type="character" w:customStyle="1" w:styleId="a4">
    <w:name w:val="正文文本 字符"/>
    <w:basedOn w:val="a0"/>
    <w:link w:val="a3"/>
    <w:uiPriority w:val="99"/>
    <w:semiHidden/>
    <w:rsid w:val="002E5C7F"/>
  </w:style>
  <w:style w:type="character" w:customStyle="1" w:styleId="20">
    <w:name w:val="标题 2 字符"/>
    <w:basedOn w:val="a0"/>
    <w:link w:val="2"/>
    <w:uiPriority w:val="9"/>
    <w:rsid w:val="009B7475"/>
    <w:rPr>
      <w:rFonts w:ascii="方正黑体_GBK" w:eastAsia="方正黑体_GBK" w:hAnsiTheme="majorHAnsi" w:cstheme="majorBidi"/>
      <w:b/>
      <w:bCs/>
      <w:sz w:val="30"/>
      <w:szCs w:val="32"/>
    </w:rPr>
  </w:style>
  <w:style w:type="character" w:customStyle="1" w:styleId="30">
    <w:name w:val="标题 3 字符"/>
    <w:basedOn w:val="a0"/>
    <w:link w:val="3"/>
    <w:uiPriority w:val="9"/>
    <w:rsid w:val="009B7475"/>
    <w:rPr>
      <w:rFonts w:ascii="方正楷体_GBK" w:eastAsia="方正楷体_GBK"/>
      <w:b/>
      <w:bCs/>
      <w:sz w:val="30"/>
      <w:szCs w:val="32"/>
    </w:rPr>
  </w:style>
  <w:style w:type="character" w:customStyle="1" w:styleId="40">
    <w:name w:val="标题 4 字符"/>
    <w:basedOn w:val="a0"/>
    <w:link w:val="4"/>
    <w:uiPriority w:val="9"/>
    <w:rsid w:val="009B7475"/>
    <w:rPr>
      <w:rFonts w:ascii="方正仿宋_GBK" w:eastAsia="方正仿宋_GBK" w:hAnsiTheme="majorHAnsi" w:cstheme="majorBidi"/>
      <w:bCs/>
      <w:sz w:val="30"/>
      <w:szCs w:val="28"/>
    </w:rPr>
  </w:style>
  <w:style w:type="paragraph" w:styleId="a5">
    <w:name w:val="Title"/>
    <w:basedOn w:val="a"/>
    <w:next w:val="a"/>
    <w:link w:val="a6"/>
    <w:uiPriority w:val="10"/>
    <w:qFormat/>
    <w:rsid w:val="00396AC2"/>
    <w:pPr>
      <w:spacing w:line="640" w:lineRule="exact"/>
      <w:jc w:val="center"/>
      <w:outlineLvl w:val="0"/>
    </w:pPr>
    <w:rPr>
      <w:rFonts w:ascii="方正小标宋简体" w:eastAsia="方正小标宋简体" w:hAnsiTheme="majorHAnsi" w:cstheme="majorBidi"/>
      <w:b/>
      <w:bCs/>
      <w:sz w:val="36"/>
      <w:szCs w:val="32"/>
    </w:rPr>
  </w:style>
  <w:style w:type="character" w:customStyle="1" w:styleId="a6">
    <w:name w:val="标题 字符"/>
    <w:basedOn w:val="a0"/>
    <w:link w:val="a5"/>
    <w:uiPriority w:val="10"/>
    <w:rsid w:val="00396AC2"/>
    <w:rPr>
      <w:rFonts w:ascii="方正小标宋简体" w:eastAsia="方正小标宋简体" w:hAnsiTheme="majorHAnsi" w:cstheme="majorBidi"/>
      <w:b/>
      <w:bCs/>
      <w:sz w:val="36"/>
      <w:szCs w:val="32"/>
    </w:rPr>
  </w:style>
  <w:style w:type="paragraph" w:styleId="a7">
    <w:name w:val="Subtitle"/>
    <w:basedOn w:val="a"/>
    <w:next w:val="a"/>
    <w:link w:val="a8"/>
    <w:uiPriority w:val="11"/>
    <w:qFormat/>
    <w:rsid w:val="00396AC2"/>
    <w:pPr>
      <w:spacing w:line="600" w:lineRule="exact"/>
      <w:jc w:val="center"/>
      <w:outlineLvl w:val="1"/>
    </w:pPr>
    <w:rPr>
      <w:rFonts w:ascii="方正小标宋简体" w:eastAsia="方正小标宋简体"/>
      <w:bCs/>
      <w:kern w:val="28"/>
      <w:sz w:val="32"/>
      <w:szCs w:val="32"/>
    </w:rPr>
  </w:style>
  <w:style w:type="character" w:customStyle="1" w:styleId="a8">
    <w:name w:val="副标题 字符"/>
    <w:basedOn w:val="a0"/>
    <w:link w:val="a7"/>
    <w:uiPriority w:val="11"/>
    <w:rsid w:val="00396AC2"/>
    <w:rPr>
      <w:rFonts w:ascii="方正小标宋简体" w:eastAsia="方正小标宋简体"/>
      <w:bCs/>
      <w:kern w:val="28"/>
      <w:sz w:val="32"/>
      <w:szCs w:val="32"/>
    </w:rPr>
  </w:style>
  <w:style w:type="paragraph" w:styleId="a9">
    <w:name w:val="header"/>
    <w:basedOn w:val="a"/>
    <w:link w:val="aa"/>
    <w:uiPriority w:val="99"/>
    <w:unhideWhenUsed/>
    <w:rsid w:val="0096114C"/>
    <w:pPr>
      <w:tabs>
        <w:tab w:val="center" w:pos="4153"/>
        <w:tab w:val="right" w:pos="8306"/>
      </w:tabs>
      <w:snapToGrid w:val="0"/>
      <w:jc w:val="center"/>
    </w:pPr>
    <w:rPr>
      <w:sz w:val="18"/>
      <w:szCs w:val="18"/>
    </w:rPr>
  </w:style>
  <w:style w:type="character" w:customStyle="1" w:styleId="aa">
    <w:name w:val="页眉 字符"/>
    <w:basedOn w:val="a0"/>
    <w:link w:val="a9"/>
    <w:uiPriority w:val="99"/>
    <w:rsid w:val="0096114C"/>
    <w:rPr>
      <w:rFonts w:ascii="宋体" w:eastAsia="宋体"/>
      <w:sz w:val="18"/>
      <w:szCs w:val="18"/>
    </w:rPr>
  </w:style>
  <w:style w:type="paragraph" w:styleId="ab">
    <w:name w:val="footer"/>
    <w:basedOn w:val="a"/>
    <w:link w:val="ac"/>
    <w:uiPriority w:val="99"/>
    <w:unhideWhenUsed/>
    <w:rsid w:val="005F182C"/>
    <w:pPr>
      <w:tabs>
        <w:tab w:val="center" w:pos="4153"/>
        <w:tab w:val="right" w:pos="8306"/>
      </w:tabs>
      <w:snapToGrid w:val="0"/>
    </w:pPr>
    <w:rPr>
      <w:sz w:val="18"/>
      <w:szCs w:val="18"/>
    </w:rPr>
  </w:style>
  <w:style w:type="character" w:customStyle="1" w:styleId="ac">
    <w:name w:val="页脚 字符"/>
    <w:basedOn w:val="a0"/>
    <w:link w:val="ab"/>
    <w:uiPriority w:val="99"/>
    <w:rsid w:val="005F182C"/>
    <w:rPr>
      <w:rFonts w:ascii="方正仿宋_GBK" w:eastAsia="方正仿宋_GBK"/>
      <w:sz w:val="18"/>
      <w:szCs w:val="18"/>
    </w:rPr>
  </w:style>
  <w:style w:type="character" w:styleId="ad">
    <w:name w:val="Strong"/>
    <w:basedOn w:val="a0"/>
    <w:uiPriority w:val="22"/>
    <w:qFormat/>
    <w:rsid w:val="002B6E15"/>
    <w:rPr>
      <w:b/>
      <w:bCs/>
    </w:rPr>
  </w:style>
  <w:style w:type="table" w:styleId="ae">
    <w:name w:val="Table Grid"/>
    <w:basedOn w:val="a1"/>
    <w:uiPriority w:val="39"/>
    <w:rsid w:val="00060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0"/>
    <w:link w:val="5"/>
    <w:uiPriority w:val="9"/>
    <w:semiHidden/>
    <w:rsid w:val="006538D4"/>
    <w:rPr>
      <w:rFonts w:cstheme="majorBidi"/>
      <w:color w:val="0F4761" w:themeColor="accent1" w:themeShade="BF"/>
      <w:sz w:val="24"/>
      <w:szCs w:val="24"/>
    </w:rPr>
  </w:style>
  <w:style w:type="character" w:customStyle="1" w:styleId="60">
    <w:name w:val="标题 6 字符"/>
    <w:basedOn w:val="a0"/>
    <w:link w:val="6"/>
    <w:uiPriority w:val="9"/>
    <w:semiHidden/>
    <w:rsid w:val="006538D4"/>
    <w:rPr>
      <w:rFonts w:cstheme="majorBidi"/>
      <w:b/>
      <w:bCs/>
      <w:color w:val="0F4761" w:themeColor="accent1" w:themeShade="BF"/>
      <w:sz w:val="30"/>
    </w:rPr>
  </w:style>
  <w:style w:type="character" w:customStyle="1" w:styleId="70">
    <w:name w:val="标题 7 字符"/>
    <w:basedOn w:val="a0"/>
    <w:link w:val="7"/>
    <w:uiPriority w:val="9"/>
    <w:semiHidden/>
    <w:rsid w:val="006538D4"/>
    <w:rPr>
      <w:rFonts w:cstheme="majorBidi"/>
      <w:b/>
      <w:bCs/>
      <w:color w:val="595959" w:themeColor="text1" w:themeTint="A6"/>
      <w:sz w:val="30"/>
    </w:rPr>
  </w:style>
  <w:style w:type="character" w:customStyle="1" w:styleId="80">
    <w:name w:val="标题 8 字符"/>
    <w:basedOn w:val="a0"/>
    <w:link w:val="8"/>
    <w:uiPriority w:val="9"/>
    <w:semiHidden/>
    <w:rsid w:val="006538D4"/>
    <w:rPr>
      <w:rFonts w:cstheme="majorBidi"/>
      <w:color w:val="595959" w:themeColor="text1" w:themeTint="A6"/>
      <w:sz w:val="30"/>
    </w:rPr>
  </w:style>
  <w:style w:type="character" w:customStyle="1" w:styleId="90">
    <w:name w:val="标题 9 字符"/>
    <w:basedOn w:val="a0"/>
    <w:link w:val="9"/>
    <w:uiPriority w:val="9"/>
    <w:semiHidden/>
    <w:rsid w:val="006538D4"/>
    <w:rPr>
      <w:rFonts w:eastAsiaTheme="majorEastAsia" w:cstheme="majorBidi"/>
      <w:color w:val="595959" w:themeColor="text1" w:themeTint="A6"/>
      <w:sz w:val="30"/>
    </w:rPr>
  </w:style>
  <w:style w:type="paragraph" w:styleId="af">
    <w:name w:val="Quote"/>
    <w:basedOn w:val="a"/>
    <w:next w:val="a"/>
    <w:link w:val="af0"/>
    <w:uiPriority w:val="29"/>
    <w:qFormat/>
    <w:rsid w:val="006538D4"/>
    <w:pPr>
      <w:spacing w:before="160" w:after="160"/>
      <w:jc w:val="center"/>
    </w:pPr>
    <w:rPr>
      <w:i/>
      <w:iCs/>
      <w:color w:val="404040" w:themeColor="text1" w:themeTint="BF"/>
    </w:rPr>
  </w:style>
  <w:style w:type="character" w:customStyle="1" w:styleId="af0">
    <w:name w:val="引用 字符"/>
    <w:basedOn w:val="a0"/>
    <w:link w:val="af"/>
    <w:uiPriority w:val="29"/>
    <w:rsid w:val="006538D4"/>
    <w:rPr>
      <w:rFonts w:ascii="方正仿宋_GBK" w:eastAsia="方正仿宋_GBK"/>
      <w:i/>
      <w:iCs/>
      <w:color w:val="404040" w:themeColor="text1" w:themeTint="BF"/>
      <w:sz w:val="30"/>
    </w:rPr>
  </w:style>
  <w:style w:type="paragraph" w:styleId="af1">
    <w:name w:val="List Paragraph"/>
    <w:basedOn w:val="a"/>
    <w:uiPriority w:val="34"/>
    <w:qFormat/>
    <w:rsid w:val="006538D4"/>
    <w:pPr>
      <w:ind w:left="720"/>
      <w:contextualSpacing/>
    </w:pPr>
  </w:style>
  <w:style w:type="character" w:styleId="af2">
    <w:name w:val="Intense Emphasis"/>
    <w:basedOn w:val="a0"/>
    <w:uiPriority w:val="21"/>
    <w:qFormat/>
    <w:rsid w:val="006538D4"/>
    <w:rPr>
      <w:i/>
      <w:iCs/>
      <w:color w:val="0F4761" w:themeColor="accent1" w:themeShade="BF"/>
    </w:rPr>
  </w:style>
  <w:style w:type="paragraph" w:styleId="af3">
    <w:name w:val="Intense Quote"/>
    <w:basedOn w:val="a"/>
    <w:next w:val="a"/>
    <w:link w:val="af4"/>
    <w:uiPriority w:val="30"/>
    <w:qFormat/>
    <w:rsid w:val="006538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4">
    <w:name w:val="明显引用 字符"/>
    <w:basedOn w:val="a0"/>
    <w:link w:val="af3"/>
    <w:uiPriority w:val="30"/>
    <w:rsid w:val="006538D4"/>
    <w:rPr>
      <w:rFonts w:ascii="方正仿宋_GBK" w:eastAsia="方正仿宋_GBK"/>
      <w:i/>
      <w:iCs/>
      <w:color w:val="0F4761" w:themeColor="accent1" w:themeShade="BF"/>
      <w:sz w:val="30"/>
    </w:rPr>
  </w:style>
  <w:style w:type="character" w:styleId="af5">
    <w:name w:val="Intense Reference"/>
    <w:basedOn w:val="a0"/>
    <w:uiPriority w:val="32"/>
    <w:qFormat/>
    <w:rsid w:val="006538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7822">
      <w:bodyDiv w:val="1"/>
      <w:marLeft w:val="0"/>
      <w:marRight w:val="0"/>
      <w:marTop w:val="0"/>
      <w:marBottom w:val="0"/>
      <w:divBdr>
        <w:top w:val="none" w:sz="0" w:space="0" w:color="auto"/>
        <w:left w:val="none" w:sz="0" w:space="0" w:color="auto"/>
        <w:bottom w:val="none" w:sz="0" w:space="0" w:color="auto"/>
        <w:right w:val="none" w:sz="0" w:space="0" w:color="auto"/>
      </w:divBdr>
    </w:div>
    <w:div w:id="1737631087">
      <w:bodyDiv w:val="1"/>
      <w:marLeft w:val="0"/>
      <w:marRight w:val="0"/>
      <w:marTop w:val="0"/>
      <w:marBottom w:val="0"/>
      <w:divBdr>
        <w:top w:val="none" w:sz="0" w:space="0" w:color="auto"/>
        <w:left w:val="none" w:sz="0" w:space="0" w:color="auto"/>
        <w:bottom w:val="none" w:sz="0" w:space="0" w:color="auto"/>
        <w:right w:val="none" w:sz="0" w:space="0" w:color="auto"/>
      </w:divBdr>
    </w:div>
    <w:div w:id="178030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zengdi ma</cp:lastModifiedBy>
  <cp:revision>2</cp:revision>
  <cp:lastPrinted>2024-11-01T14:26:00Z</cp:lastPrinted>
  <dcterms:created xsi:type="dcterms:W3CDTF">2025-03-27T14:17:00Z</dcterms:created>
  <dcterms:modified xsi:type="dcterms:W3CDTF">2025-03-28T05:43:00Z</dcterms:modified>
</cp:coreProperties>
</file>