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2B" w:rsidRDefault="00062D2B" w:rsidP="00D422EE">
      <w:pPr>
        <w:pStyle w:val="a3"/>
        <w:shd w:val="clear" w:color="auto" w:fill="FFFFFF"/>
        <w:spacing w:before="0" w:beforeAutospacing="0" w:after="0" w:afterAutospacing="0" w:line="480" w:lineRule="auto"/>
        <w:ind w:firstLine="480"/>
        <w:jc w:val="center"/>
        <w:rPr>
          <w:rStyle w:val="a4"/>
          <w:rFonts w:ascii="仿宋" w:eastAsia="仿宋" w:hAnsi="仿宋"/>
          <w:color w:val="333333"/>
          <w:sz w:val="40"/>
          <w:szCs w:val="30"/>
        </w:rPr>
      </w:pPr>
      <w:r w:rsidRPr="00062D2B">
        <w:rPr>
          <w:rStyle w:val="a4"/>
          <w:rFonts w:ascii="仿宋" w:eastAsia="仿宋" w:hAnsi="仿宋" w:hint="eastAsia"/>
          <w:color w:val="333333"/>
          <w:sz w:val="40"/>
          <w:szCs w:val="30"/>
        </w:rPr>
        <w:t>湖北省公共数据资源登记实施细则（试行）</w:t>
      </w:r>
    </w:p>
    <w:p w:rsidR="00062D2B" w:rsidRPr="00062D2B" w:rsidRDefault="00062D2B" w:rsidP="00D422EE">
      <w:pPr>
        <w:pStyle w:val="a3"/>
        <w:shd w:val="clear" w:color="auto" w:fill="FFFFFF"/>
        <w:spacing w:before="0" w:beforeAutospacing="0" w:after="0" w:afterAutospacing="0" w:line="480" w:lineRule="auto"/>
        <w:ind w:firstLine="480"/>
        <w:jc w:val="center"/>
        <w:rPr>
          <w:rFonts w:ascii="仿宋" w:eastAsia="仿宋" w:hAnsi="仿宋" w:hint="eastAsia"/>
          <w:color w:val="333333"/>
          <w:sz w:val="40"/>
          <w:szCs w:val="30"/>
        </w:rPr>
      </w:pPr>
    </w:p>
    <w:p w:rsidR="00062D2B" w:rsidRPr="00062D2B" w:rsidRDefault="00062D2B" w:rsidP="00D422EE">
      <w:pPr>
        <w:pStyle w:val="a3"/>
        <w:shd w:val="clear" w:color="auto" w:fill="FFFFFF"/>
        <w:spacing w:before="0" w:beforeAutospacing="0" w:after="0" w:afterAutospacing="0" w:line="480" w:lineRule="auto"/>
        <w:ind w:firstLine="480"/>
        <w:jc w:val="center"/>
        <w:rPr>
          <w:rFonts w:ascii="仿宋" w:eastAsia="仿宋" w:hAnsi="仿宋" w:hint="eastAsia"/>
          <w:color w:val="333333"/>
          <w:szCs w:val="30"/>
        </w:rPr>
      </w:pPr>
      <w:r w:rsidRPr="00062D2B">
        <w:rPr>
          <w:rStyle w:val="a4"/>
          <w:rFonts w:ascii="仿宋" w:eastAsia="仿宋" w:hAnsi="仿宋" w:hint="eastAsia"/>
          <w:color w:val="333333"/>
          <w:szCs w:val="30"/>
        </w:rPr>
        <w:t>第一章</w:t>
      </w:r>
      <w:r w:rsidRPr="00062D2B">
        <w:rPr>
          <w:rStyle w:val="a4"/>
          <w:rFonts w:ascii="仿宋" w:eastAsia="仿宋" w:hAnsi="仿宋" w:hint="eastAsia"/>
          <w:color w:val="333333"/>
          <w:szCs w:val="30"/>
        </w:rPr>
        <w:t> </w:t>
      </w:r>
      <w:r w:rsidRPr="00062D2B">
        <w:rPr>
          <w:rStyle w:val="a4"/>
          <w:rFonts w:ascii="仿宋" w:eastAsia="仿宋" w:hAnsi="仿宋" w:hint="eastAsia"/>
          <w:color w:val="333333"/>
          <w:szCs w:val="30"/>
        </w:rPr>
        <w:t>总则</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第一条</w:t>
      </w:r>
      <w:r w:rsidRPr="00062D2B">
        <w:rPr>
          <w:rFonts w:ascii="仿宋" w:eastAsia="仿宋" w:hAnsi="仿宋" w:hint="eastAsia"/>
          <w:color w:val="333333"/>
          <w:szCs w:val="30"/>
        </w:rPr>
        <w:t> </w:t>
      </w:r>
      <w:r w:rsidRPr="00062D2B">
        <w:rPr>
          <w:rFonts w:ascii="仿宋" w:eastAsia="仿宋" w:hAnsi="仿宋" w:hint="eastAsia"/>
          <w:color w:val="333333"/>
          <w:szCs w:val="30"/>
        </w:rPr>
        <w:t>为促进公共数据资源合</w:t>
      </w:r>
      <w:proofErr w:type="gramStart"/>
      <w:r w:rsidRPr="00062D2B">
        <w:rPr>
          <w:rFonts w:ascii="仿宋" w:eastAsia="仿宋" w:hAnsi="仿宋" w:hint="eastAsia"/>
          <w:color w:val="333333"/>
          <w:szCs w:val="30"/>
        </w:rPr>
        <w:t>规</w:t>
      </w:r>
      <w:proofErr w:type="gramEnd"/>
      <w:r w:rsidRPr="00062D2B">
        <w:rPr>
          <w:rFonts w:ascii="仿宋" w:eastAsia="仿宋" w:hAnsi="仿宋" w:hint="eastAsia"/>
          <w:color w:val="333333"/>
          <w:szCs w:val="30"/>
        </w:rPr>
        <w:t>高效开发利用，落实全国一体化公共数据资源登记要求，规范全省公共数据资源登记工作，根据《中华人民共和国网络安全法》《中华人民共和国数据安全法》《中华人民共和国个人信息保护法》等法律法规，依据《公共数据资源登</w:t>
      </w:r>
      <w:bookmarkStart w:id="0" w:name="_GoBack"/>
      <w:bookmarkEnd w:id="0"/>
      <w:r w:rsidRPr="00062D2B">
        <w:rPr>
          <w:rFonts w:ascii="仿宋" w:eastAsia="仿宋" w:hAnsi="仿宋" w:hint="eastAsia"/>
          <w:color w:val="333333"/>
          <w:szCs w:val="30"/>
        </w:rPr>
        <w:t>记管理暂行办法》《公共数据资源授权运营实施规范（试行）》，制定本细则。</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第二条</w:t>
      </w:r>
      <w:r w:rsidRPr="00062D2B">
        <w:rPr>
          <w:rFonts w:ascii="仿宋" w:eastAsia="仿宋" w:hAnsi="仿宋" w:hint="eastAsia"/>
          <w:color w:val="333333"/>
          <w:szCs w:val="30"/>
        </w:rPr>
        <w:t> </w:t>
      </w:r>
      <w:r w:rsidRPr="00062D2B">
        <w:rPr>
          <w:rFonts w:ascii="仿宋" w:eastAsia="仿宋" w:hAnsi="仿宋" w:hint="eastAsia"/>
          <w:color w:val="333333"/>
          <w:szCs w:val="30"/>
        </w:rPr>
        <w:t>在湖北省行政区域内开展公共数据资源的登记活动及其监督管理，适用本细则。</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第三条</w:t>
      </w:r>
      <w:r w:rsidRPr="00062D2B">
        <w:rPr>
          <w:rFonts w:ascii="仿宋" w:eastAsia="仿宋" w:hAnsi="仿宋" w:hint="eastAsia"/>
          <w:color w:val="333333"/>
          <w:szCs w:val="30"/>
        </w:rPr>
        <w:t> </w:t>
      </w:r>
      <w:r w:rsidRPr="00062D2B">
        <w:rPr>
          <w:rFonts w:ascii="仿宋" w:eastAsia="仿宋" w:hAnsi="仿宋" w:hint="eastAsia"/>
          <w:color w:val="333333"/>
          <w:szCs w:val="30"/>
        </w:rPr>
        <w:t>本细则中的术语含义：</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（一）公共数据资源，是指各级党政机关、企事业单位依法履职或提供公共服务过程中产生的具有利用价值的数据集合。</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本细则所称公共数据资源登记包含基于公共数据资源加工形成的公共数据产品和服务的登记。</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（二）登记主体，是指根据工作职责直接持有或管理公共数据资源的单位，以及依法依规对授权范围的公共数据资源进行开发运营的法人组织。</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（三）登记机构，是指由数据管理部门指定的、提供公共数据资源登记服务的事业单位。</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（四）登记平台，是指支撑全省公共数据资源</w:t>
      </w:r>
      <w:proofErr w:type="gramStart"/>
      <w:r w:rsidRPr="00062D2B">
        <w:rPr>
          <w:rFonts w:ascii="仿宋" w:eastAsia="仿宋" w:hAnsi="仿宋" w:hint="eastAsia"/>
          <w:color w:val="333333"/>
          <w:szCs w:val="30"/>
        </w:rPr>
        <w:t>登记全</w:t>
      </w:r>
      <w:proofErr w:type="gramEnd"/>
      <w:r w:rsidRPr="00062D2B">
        <w:rPr>
          <w:rFonts w:ascii="仿宋" w:eastAsia="仿宋" w:hAnsi="仿宋" w:hint="eastAsia"/>
          <w:color w:val="333333"/>
          <w:szCs w:val="30"/>
        </w:rPr>
        <w:t>流程服务管理的信息化系统。</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lastRenderedPageBreak/>
        <w:t>第四条</w:t>
      </w:r>
      <w:r w:rsidRPr="00062D2B">
        <w:rPr>
          <w:rStyle w:val="a4"/>
          <w:rFonts w:ascii="仿宋" w:eastAsia="仿宋" w:hAnsi="仿宋" w:hint="eastAsia"/>
          <w:color w:val="333333"/>
          <w:szCs w:val="30"/>
        </w:rPr>
        <w:t> </w:t>
      </w:r>
      <w:r w:rsidRPr="00062D2B">
        <w:rPr>
          <w:rFonts w:ascii="仿宋" w:eastAsia="仿宋" w:hAnsi="仿宋" w:hint="eastAsia"/>
          <w:color w:val="333333"/>
          <w:szCs w:val="30"/>
        </w:rPr>
        <w:t>省数据管理部门负责统筹全省公共数据资源登记工作，建立健全公共数据资源登记相关制度规范和工作机制，推进登记平台建设与使用管理，监督指导登记机构规范开展登记业务，强化数据共享、应用服务和安全保障。</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市（州）数据管理部门负责统筹本地区公共数据资源登记工作，监督指导本地区登记机构依托登记平台开展公共数据资源登记服务工作，并接受上级数据管理部门的指导和监督。</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第五条</w:t>
      </w:r>
      <w:r w:rsidRPr="00062D2B">
        <w:rPr>
          <w:rFonts w:ascii="仿宋" w:eastAsia="仿宋" w:hAnsi="仿宋" w:hint="eastAsia"/>
          <w:color w:val="333333"/>
          <w:szCs w:val="30"/>
        </w:rPr>
        <w:t> </w:t>
      </w:r>
      <w:r w:rsidRPr="00062D2B">
        <w:rPr>
          <w:rFonts w:ascii="仿宋" w:eastAsia="仿宋" w:hAnsi="仿宋" w:hint="eastAsia"/>
          <w:color w:val="333333"/>
          <w:szCs w:val="30"/>
        </w:rPr>
        <w:t>按照统建共用、分级登记的原则，建立全省一体化公共数据资源登记体系。公共数据资源登记遵循依法合</w:t>
      </w:r>
      <w:proofErr w:type="gramStart"/>
      <w:r w:rsidRPr="00062D2B">
        <w:rPr>
          <w:rFonts w:ascii="仿宋" w:eastAsia="仿宋" w:hAnsi="仿宋" w:hint="eastAsia"/>
          <w:color w:val="333333"/>
          <w:szCs w:val="30"/>
        </w:rPr>
        <w:t>规</w:t>
      </w:r>
      <w:proofErr w:type="gramEnd"/>
      <w:r w:rsidRPr="00062D2B">
        <w:rPr>
          <w:rFonts w:ascii="仿宋" w:eastAsia="仿宋" w:hAnsi="仿宋" w:hint="eastAsia"/>
          <w:color w:val="333333"/>
          <w:szCs w:val="30"/>
        </w:rPr>
        <w:t>、公开透明、标准规范、安全高效的原则，依法维护国家安全和公共利益，保护国家秘密、商业秘密、个人隐私和个人信息权益。</w:t>
      </w:r>
    </w:p>
    <w:p w:rsidR="00062D2B" w:rsidRPr="00062D2B" w:rsidRDefault="00062D2B" w:rsidP="00D422EE">
      <w:pPr>
        <w:pStyle w:val="a3"/>
        <w:shd w:val="clear" w:color="auto" w:fill="FFFFFF"/>
        <w:spacing w:before="0" w:beforeAutospacing="0" w:after="0" w:afterAutospacing="0" w:line="480" w:lineRule="auto"/>
        <w:ind w:firstLine="480"/>
        <w:jc w:val="center"/>
        <w:rPr>
          <w:rFonts w:ascii="仿宋" w:eastAsia="仿宋" w:hAnsi="仿宋" w:hint="eastAsia"/>
          <w:color w:val="333333"/>
          <w:szCs w:val="30"/>
        </w:rPr>
      </w:pPr>
      <w:r w:rsidRPr="00062D2B">
        <w:rPr>
          <w:rStyle w:val="a4"/>
          <w:rFonts w:ascii="仿宋" w:eastAsia="仿宋" w:hAnsi="仿宋" w:hint="eastAsia"/>
          <w:color w:val="333333"/>
          <w:szCs w:val="30"/>
        </w:rPr>
        <w:t>第二章</w:t>
      </w:r>
      <w:r w:rsidRPr="00062D2B">
        <w:rPr>
          <w:rStyle w:val="a4"/>
          <w:rFonts w:ascii="仿宋" w:eastAsia="仿宋" w:hAnsi="仿宋" w:hint="eastAsia"/>
          <w:color w:val="333333"/>
          <w:szCs w:val="30"/>
        </w:rPr>
        <w:t> </w:t>
      </w:r>
      <w:r w:rsidRPr="00062D2B">
        <w:rPr>
          <w:rStyle w:val="a4"/>
          <w:rFonts w:ascii="仿宋" w:eastAsia="仿宋" w:hAnsi="仿宋" w:hint="eastAsia"/>
          <w:color w:val="333333"/>
          <w:szCs w:val="30"/>
        </w:rPr>
        <w:t>登记要求</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第六条</w:t>
      </w:r>
      <w:r w:rsidRPr="00062D2B">
        <w:rPr>
          <w:rFonts w:ascii="仿宋" w:eastAsia="仿宋" w:hAnsi="仿宋" w:hint="eastAsia"/>
          <w:color w:val="333333"/>
          <w:szCs w:val="30"/>
        </w:rPr>
        <w:t> </w:t>
      </w:r>
      <w:r w:rsidRPr="00062D2B">
        <w:rPr>
          <w:rFonts w:ascii="仿宋" w:eastAsia="仿宋" w:hAnsi="仿宋" w:hint="eastAsia"/>
          <w:color w:val="333333"/>
          <w:szCs w:val="30"/>
        </w:rPr>
        <w:t>直接持有或管理公共数据资源的党政机关和事业单位，应对纳入授权运营范围的公共数据资源进行登记，鼓励对未纳入授权运营范围的公共数据资源进行登记。</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经授权开展运营活动的法人组织，应对利用被授权的公共数据资源加工形成的数据产品和服务进行登记。鼓励供水、供气、供热、供电、公共交通等公用企业对直接持有或管理的公共数据资源及形成的产品和服务进行登记。</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第七条</w:t>
      </w:r>
      <w:r w:rsidRPr="00062D2B">
        <w:rPr>
          <w:rStyle w:val="a4"/>
          <w:rFonts w:ascii="仿宋" w:eastAsia="仿宋" w:hAnsi="仿宋" w:hint="eastAsia"/>
          <w:color w:val="333333"/>
          <w:szCs w:val="30"/>
        </w:rPr>
        <w:t> </w:t>
      </w:r>
      <w:r w:rsidRPr="00062D2B">
        <w:rPr>
          <w:rFonts w:ascii="仿宋" w:eastAsia="仿宋" w:hAnsi="仿宋" w:hint="eastAsia"/>
          <w:color w:val="333333"/>
          <w:szCs w:val="30"/>
        </w:rPr>
        <w:t>建立省市两级公共数据资源登记体系，省大数据中心作为省级公共数据资源登记机构，各市（州）数据管理部门结合实际确定本地区登记机构，报省数据管理部门备案。</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县级确需设置本级登记机构的，应报请上一级数据管理部门同意，并按程序逐级备案。</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lastRenderedPageBreak/>
        <w:t>省直机关及其直属机构、省属企事业单位的公共数据资源登记，由省级登记机构负责办理。</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第八条</w:t>
      </w:r>
      <w:r w:rsidRPr="00062D2B">
        <w:rPr>
          <w:rFonts w:ascii="仿宋" w:eastAsia="仿宋" w:hAnsi="仿宋" w:hint="eastAsia"/>
          <w:color w:val="333333"/>
          <w:szCs w:val="30"/>
        </w:rPr>
        <w:t> </w:t>
      </w:r>
      <w:r w:rsidRPr="00062D2B">
        <w:rPr>
          <w:rFonts w:ascii="仿宋" w:eastAsia="仿宋" w:hAnsi="仿宋" w:hint="eastAsia"/>
          <w:color w:val="333333"/>
          <w:szCs w:val="30"/>
        </w:rPr>
        <w:t>登记机构基于全省统一的登记平台开展公共数据资源登记，执行全省统一的登记管理要求，按照行政层级和属地原则提供规范化、标准化、便利</w:t>
      </w:r>
      <w:proofErr w:type="gramStart"/>
      <w:r w:rsidRPr="00062D2B">
        <w:rPr>
          <w:rFonts w:ascii="仿宋" w:eastAsia="仿宋" w:hAnsi="仿宋" w:hint="eastAsia"/>
          <w:color w:val="333333"/>
          <w:szCs w:val="30"/>
        </w:rPr>
        <w:t>化登记</w:t>
      </w:r>
      <w:proofErr w:type="gramEnd"/>
      <w:r w:rsidRPr="00062D2B">
        <w:rPr>
          <w:rFonts w:ascii="仿宋" w:eastAsia="仿宋" w:hAnsi="仿宋" w:hint="eastAsia"/>
          <w:color w:val="333333"/>
          <w:szCs w:val="30"/>
        </w:rPr>
        <w:t>服务，以及与登记业务有关的登记信息查询、政策咨询解读等服务。</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登记机构应具备开展登记工作的基础条件和业务能力，包括但不限于办公场地、基础设施、网络环境、技术能力、安全保障能力、人员团队等。</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登记机构应建立健全公共数据资源登记管理责任制，履行数据安全保护义务，强化数据安全保护技术应用，妥善保管登记信息。</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第九条</w:t>
      </w:r>
      <w:r w:rsidRPr="00062D2B">
        <w:rPr>
          <w:rFonts w:ascii="仿宋" w:eastAsia="仿宋" w:hAnsi="仿宋" w:hint="eastAsia"/>
          <w:color w:val="333333"/>
          <w:szCs w:val="30"/>
        </w:rPr>
        <w:t> </w:t>
      </w:r>
      <w:r w:rsidRPr="00062D2B">
        <w:rPr>
          <w:rFonts w:ascii="仿宋" w:eastAsia="仿宋" w:hAnsi="仿宋" w:hint="eastAsia"/>
          <w:color w:val="333333"/>
          <w:szCs w:val="30"/>
        </w:rPr>
        <w:t>登记主体按照数据资源管理权限完成业务审核后，通过登记平台提出登记申请，如实准确提供登记材料，并对登记材料的真实性、完整性、合法性、有效性负责。涉及多个主体的，可共同提出登记申请或协商一致后由单独主体提出登记申请。</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登记主体在申请登记前应在保障安全的前提下对公共数据资源进行存证，确保来源可查、加工可控。</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第十条</w:t>
      </w:r>
      <w:r w:rsidRPr="00062D2B">
        <w:rPr>
          <w:rFonts w:ascii="仿宋" w:eastAsia="仿宋" w:hAnsi="仿宋" w:hint="eastAsia"/>
          <w:color w:val="333333"/>
          <w:szCs w:val="30"/>
        </w:rPr>
        <w:t> </w:t>
      </w:r>
      <w:r w:rsidRPr="00062D2B">
        <w:rPr>
          <w:rFonts w:ascii="仿宋" w:eastAsia="仿宋" w:hAnsi="仿宋" w:hint="eastAsia"/>
          <w:color w:val="333333"/>
          <w:szCs w:val="30"/>
        </w:rPr>
        <w:t>支持第三</w:t>
      </w:r>
      <w:proofErr w:type="gramStart"/>
      <w:r w:rsidRPr="00062D2B">
        <w:rPr>
          <w:rFonts w:ascii="仿宋" w:eastAsia="仿宋" w:hAnsi="仿宋" w:hint="eastAsia"/>
          <w:color w:val="333333"/>
          <w:szCs w:val="30"/>
        </w:rPr>
        <w:t>方专业</w:t>
      </w:r>
      <w:proofErr w:type="gramEnd"/>
      <w:r w:rsidRPr="00062D2B">
        <w:rPr>
          <w:rFonts w:ascii="仿宋" w:eastAsia="仿宋" w:hAnsi="仿宋" w:hint="eastAsia"/>
          <w:color w:val="333333"/>
          <w:szCs w:val="30"/>
        </w:rPr>
        <w:t>服务机构参与公共数据资源登记活动，提供数据存证、合</w:t>
      </w:r>
      <w:proofErr w:type="gramStart"/>
      <w:r w:rsidRPr="00062D2B">
        <w:rPr>
          <w:rFonts w:ascii="仿宋" w:eastAsia="仿宋" w:hAnsi="仿宋" w:hint="eastAsia"/>
          <w:color w:val="333333"/>
          <w:szCs w:val="30"/>
        </w:rPr>
        <w:t>规</w:t>
      </w:r>
      <w:proofErr w:type="gramEnd"/>
      <w:r w:rsidRPr="00062D2B">
        <w:rPr>
          <w:rFonts w:ascii="仿宋" w:eastAsia="仿宋" w:hAnsi="仿宋" w:hint="eastAsia"/>
          <w:color w:val="333333"/>
          <w:szCs w:val="30"/>
        </w:rPr>
        <w:t>认证、安全审计、风险评估等专业化服务。</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第三</w:t>
      </w:r>
      <w:proofErr w:type="gramStart"/>
      <w:r w:rsidRPr="00062D2B">
        <w:rPr>
          <w:rFonts w:ascii="仿宋" w:eastAsia="仿宋" w:hAnsi="仿宋" w:hint="eastAsia"/>
          <w:color w:val="333333"/>
          <w:szCs w:val="30"/>
        </w:rPr>
        <w:t>方专业</w:t>
      </w:r>
      <w:proofErr w:type="gramEnd"/>
      <w:r w:rsidRPr="00062D2B">
        <w:rPr>
          <w:rFonts w:ascii="仿宋" w:eastAsia="仿宋" w:hAnsi="仿宋" w:hint="eastAsia"/>
          <w:color w:val="333333"/>
          <w:szCs w:val="30"/>
        </w:rPr>
        <w:t>服务机构应具备相应管理和技术能力，严格按照委托或协议事项依法客观、独立、公正提供相关服务，服务过程中不得存在虚假记载、误导性陈述、信息泄露等违法违规行为。</w:t>
      </w:r>
    </w:p>
    <w:p w:rsidR="00062D2B" w:rsidRPr="00062D2B" w:rsidRDefault="00062D2B" w:rsidP="00D422EE">
      <w:pPr>
        <w:pStyle w:val="a3"/>
        <w:shd w:val="clear" w:color="auto" w:fill="FFFFFF"/>
        <w:spacing w:before="0" w:beforeAutospacing="0" w:after="0" w:afterAutospacing="0" w:line="480" w:lineRule="auto"/>
        <w:ind w:firstLine="480"/>
        <w:jc w:val="center"/>
        <w:rPr>
          <w:rFonts w:ascii="仿宋" w:eastAsia="仿宋" w:hAnsi="仿宋" w:hint="eastAsia"/>
          <w:color w:val="333333"/>
          <w:szCs w:val="30"/>
        </w:rPr>
      </w:pPr>
      <w:r w:rsidRPr="00062D2B">
        <w:rPr>
          <w:rStyle w:val="a4"/>
          <w:rFonts w:ascii="仿宋" w:eastAsia="仿宋" w:hAnsi="仿宋" w:hint="eastAsia"/>
          <w:color w:val="333333"/>
          <w:szCs w:val="30"/>
        </w:rPr>
        <w:t>第三章</w:t>
      </w:r>
      <w:r w:rsidRPr="00062D2B">
        <w:rPr>
          <w:rStyle w:val="a4"/>
          <w:rFonts w:ascii="仿宋" w:eastAsia="仿宋" w:hAnsi="仿宋" w:hint="eastAsia"/>
          <w:color w:val="333333"/>
          <w:szCs w:val="30"/>
        </w:rPr>
        <w:t> </w:t>
      </w:r>
      <w:r w:rsidRPr="00062D2B">
        <w:rPr>
          <w:rStyle w:val="a4"/>
          <w:rFonts w:ascii="仿宋" w:eastAsia="仿宋" w:hAnsi="仿宋" w:hint="eastAsia"/>
          <w:color w:val="333333"/>
          <w:szCs w:val="30"/>
        </w:rPr>
        <w:t>登记类型</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lastRenderedPageBreak/>
        <w:t>第十一条</w:t>
      </w:r>
      <w:r w:rsidRPr="00062D2B">
        <w:rPr>
          <w:rFonts w:ascii="仿宋" w:eastAsia="仿宋" w:hAnsi="仿宋" w:hint="eastAsia"/>
          <w:color w:val="333333"/>
          <w:szCs w:val="30"/>
        </w:rPr>
        <w:t> </w:t>
      </w:r>
      <w:r w:rsidRPr="00062D2B">
        <w:rPr>
          <w:rFonts w:ascii="仿宋" w:eastAsia="仿宋" w:hAnsi="仿宋" w:hint="eastAsia"/>
          <w:color w:val="333333"/>
          <w:szCs w:val="30"/>
        </w:rPr>
        <w:t>公共数据资源登记申请类型主要包括首次登记、变更登记、更正登记、注销登记。</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第十二条</w:t>
      </w:r>
      <w:r w:rsidRPr="00062D2B">
        <w:rPr>
          <w:rFonts w:ascii="仿宋" w:eastAsia="仿宋" w:hAnsi="仿宋" w:hint="eastAsia"/>
          <w:color w:val="333333"/>
          <w:szCs w:val="30"/>
        </w:rPr>
        <w:t> </w:t>
      </w:r>
      <w:r w:rsidRPr="00062D2B">
        <w:rPr>
          <w:rFonts w:ascii="仿宋" w:eastAsia="仿宋" w:hAnsi="仿宋" w:hint="eastAsia"/>
          <w:color w:val="333333"/>
          <w:szCs w:val="30"/>
        </w:rPr>
        <w:t>登记主体开展授权运营活动，应在提供公共数据资源或交付公共数据产品和服务后的20个工作日内提交首次登记申请。本细则施行前已开展授权运营的，登记主体应</w:t>
      </w:r>
      <w:proofErr w:type="gramStart"/>
      <w:r w:rsidRPr="00062D2B">
        <w:rPr>
          <w:rFonts w:ascii="仿宋" w:eastAsia="仿宋" w:hAnsi="仿宋" w:hint="eastAsia"/>
          <w:color w:val="333333"/>
          <w:szCs w:val="30"/>
        </w:rPr>
        <w:t>按首次</w:t>
      </w:r>
      <w:proofErr w:type="gramEnd"/>
      <w:r w:rsidRPr="00062D2B">
        <w:rPr>
          <w:rFonts w:ascii="仿宋" w:eastAsia="仿宋" w:hAnsi="仿宋" w:hint="eastAsia"/>
          <w:color w:val="333333"/>
          <w:szCs w:val="30"/>
        </w:rPr>
        <w:t>登记程序于本细则施行后的30个工作日内进行登记。</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鼓励开展共享、开放业务的单位参照本细则要求进行公共数据资源登记。</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登记主体申请办理首次登记，应提交以下材料：</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（一）登记主体信息。包括登记主体名称、登记主体类型、统一社会信用代码等，经授权由湖北省统一认证平台自动获取。</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（二）数据资源情况。包括数据基本信息、数据存储信息、应用场景信息、数据共享开放信息、共有数据信息、存</w:t>
      </w:r>
      <w:proofErr w:type="gramStart"/>
      <w:r w:rsidRPr="00062D2B">
        <w:rPr>
          <w:rFonts w:ascii="仿宋" w:eastAsia="仿宋" w:hAnsi="仿宋" w:hint="eastAsia"/>
          <w:color w:val="333333"/>
          <w:szCs w:val="30"/>
        </w:rPr>
        <w:t>证情况</w:t>
      </w:r>
      <w:proofErr w:type="gramEnd"/>
      <w:r w:rsidRPr="00062D2B">
        <w:rPr>
          <w:rFonts w:ascii="仿宋" w:eastAsia="仿宋" w:hAnsi="仿宋" w:hint="eastAsia"/>
          <w:color w:val="333333"/>
          <w:szCs w:val="30"/>
        </w:rPr>
        <w:t>等。</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（三）数据产品和服务信息。包括产品和服务名称、类型、用途、被授权运营相关信息等。</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（四）数据安全风险评估材料。登记主体组织开展数据安全风险评估，形成数据安全风险评估报告。数据安全风险评估报告可由登记主体自行提供，或由第三</w:t>
      </w:r>
      <w:proofErr w:type="gramStart"/>
      <w:r w:rsidRPr="00062D2B">
        <w:rPr>
          <w:rFonts w:ascii="仿宋" w:eastAsia="仿宋" w:hAnsi="仿宋" w:hint="eastAsia"/>
          <w:color w:val="333333"/>
          <w:szCs w:val="30"/>
        </w:rPr>
        <w:t>方专业</w:t>
      </w:r>
      <w:proofErr w:type="gramEnd"/>
      <w:r w:rsidRPr="00062D2B">
        <w:rPr>
          <w:rFonts w:ascii="仿宋" w:eastAsia="仿宋" w:hAnsi="仿宋" w:hint="eastAsia"/>
          <w:color w:val="333333"/>
          <w:szCs w:val="30"/>
        </w:rPr>
        <w:t>服务机构出具。</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（五）数据合法合</w:t>
      </w:r>
      <w:proofErr w:type="gramStart"/>
      <w:r w:rsidRPr="00062D2B">
        <w:rPr>
          <w:rFonts w:ascii="仿宋" w:eastAsia="仿宋" w:hAnsi="仿宋" w:hint="eastAsia"/>
          <w:color w:val="333333"/>
          <w:szCs w:val="30"/>
        </w:rPr>
        <w:t>规</w:t>
      </w:r>
      <w:proofErr w:type="gramEnd"/>
      <w:r w:rsidRPr="00062D2B">
        <w:rPr>
          <w:rFonts w:ascii="仿宋" w:eastAsia="仿宋" w:hAnsi="仿宋" w:hint="eastAsia"/>
          <w:color w:val="333333"/>
          <w:szCs w:val="30"/>
        </w:rPr>
        <w:t>性来源证明及承诺。为确保数据在采集、存储、处理、流通和使用等各环节中符合相关法律法规、行业标准及企业内部政策规定，所需提供的证明材料。</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（六）委托代理信息。包括委托登记主体基本信息、委托代理协议书等。</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（七）其他必要材料。</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lastRenderedPageBreak/>
        <w:t>第十三条</w:t>
      </w:r>
      <w:r w:rsidRPr="00062D2B">
        <w:rPr>
          <w:rFonts w:ascii="仿宋" w:eastAsia="仿宋" w:hAnsi="仿宋" w:hint="eastAsia"/>
          <w:color w:val="333333"/>
          <w:szCs w:val="30"/>
        </w:rPr>
        <w:t> </w:t>
      </w:r>
      <w:r w:rsidRPr="00062D2B">
        <w:rPr>
          <w:rFonts w:ascii="仿宋" w:eastAsia="仿宋" w:hAnsi="仿宋" w:hint="eastAsia"/>
          <w:color w:val="333333"/>
          <w:szCs w:val="30"/>
        </w:rPr>
        <w:t>存</w:t>
      </w:r>
      <w:proofErr w:type="gramStart"/>
      <w:r w:rsidRPr="00062D2B">
        <w:rPr>
          <w:rFonts w:ascii="仿宋" w:eastAsia="仿宋" w:hAnsi="仿宋" w:hint="eastAsia"/>
          <w:color w:val="333333"/>
          <w:szCs w:val="30"/>
        </w:rPr>
        <w:t>证情况</w:t>
      </w:r>
      <w:proofErr w:type="gramEnd"/>
      <w:r w:rsidRPr="00062D2B">
        <w:rPr>
          <w:rFonts w:ascii="仿宋" w:eastAsia="仿宋" w:hAnsi="仿宋" w:hint="eastAsia"/>
          <w:color w:val="333333"/>
          <w:szCs w:val="30"/>
        </w:rPr>
        <w:t>可由登记主体自证或委托第三</w:t>
      </w:r>
      <w:proofErr w:type="gramStart"/>
      <w:r w:rsidRPr="00062D2B">
        <w:rPr>
          <w:rFonts w:ascii="仿宋" w:eastAsia="仿宋" w:hAnsi="仿宋" w:hint="eastAsia"/>
          <w:color w:val="333333"/>
          <w:szCs w:val="30"/>
        </w:rPr>
        <w:t>方专业</w:t>
      </w:r>
      <w:proofErr w:type="gramEnd"/>
      <w:r w:rsidRPr="00062D2B">
        <w:rPr>
          <w:rFonts w:ascii="仿宋" w:eastAsia="仿宋" w:hAnsi="仿宋" w:hint="eastAsia"/>
          <w:color w:val="333333"/>
          <w:szCs w:val="30"/>
        </w:rPr>
        <w:t>服务机构证明。</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自证由登记主体自行承担相应证明责任，自</w:t>
      </w:r>
      <w:proofErr w:type="gramStart"/>
      <w:r w:rsidRPr="00062D2B">
        <w:rPr>
          <w:rFonts w:ascii="仿宋" w:eastAsia="仿宋" w:hAnsi="仿宋" w:hint="eastAsia"/>
          <w:color w:val="333333"/>
          <w:szCs w:val="30"/>
        </w:rPr>
        <w:t>证文件</w:t>
      </w:r>
      <w:proofErr w:type="gramEnd"/>
      <w:r w:rsidRPr="00062D2B">
        <w:rPr>
          <w:rFonts w:ascii="仿宋" w:eastAsia="仿宋" w:hAnsi="仿宋" w:hint="eastAsia"/>
          <w:color w:val="333333"/>
          <w:szCs w:val="30"/>
        </w:rPr>
        <w:t>应真实反映登记数据存储情况，包括但不限于数据存储位置截图、数据库查询结果截图、记录数据操作详细信息的日志文件等。</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委托第三</w:t>
      </w:r>
      <w:proofErr w:type="gramStart"/>
      <w:r w:rsidRPr="00062D2B">
        <w:rPr>
          <w:rFonts w:ascii="仿宋" w:eastAsia="仿宋" w:hAnsi="仿宋" w:hint="eastAsia"/>
          <w:color w:val="333333"/>
          <w:szCs w:val="30"/>
        </w:rPr>
        <w:t>方专业</w:t>
      </w:r>
      <w:proofErr w:type="gramEnd"/>
      <w:r w:rsidRPr="00062D2B">
        <w:rPr>
          <w:rFonts w:ascii="仿宋" w:eastAsia="仿宋" w:hAnsi="仿宋" w:hint="eastAsia"/>
          <w:color w:val="333333"/>
          <w:szCs w:val="30"/>
        </w:rPr>
        <w:t>服务机构证明包括区块链平台存证、公证处公证、</w:t>
      </w:r>
      <w:proofErr w:type="gramStart"/>
      <w:r w:rsidRPr="00062D2B">
        <w:rPr>
          <w:rFonts w:ascii="仿宋" w:eastAsia="仿宋" w:hAnsi="仿宋" w:hint="eastAsia"/>
          <w:color w:val="333333"/>
          <w:szCs w:val="30"/>
        </w:rPr>
        <w:t>其他第三方专业</w:t>
      </w:r>
      <w:proofErr w:type="gramEnd"/>
      <w:r w:rsidRPr="00062D2B">
        <w:rPr>
          <w:rFonts w:ascii="仿宋" w:eastAsia="仿宋" w:hAnsi="仿宋" w:hint="eastAsia"/>
          <w:color w:val="333333"/>
          <w:szCs w:val="30"/>
        </w:rPr>
        <w:t>服务机构测评。区块链平台存证、公证处公证证明文件包括电子版公证证书或扫描件；</w:t>
      </w:r>
      <w:proofErr w:type="gramStart"/>
      <w:r w:rsidRPr="00062D2B">
        <w:rPr>
          <w:rFonts w:ascii="仿宋" w:eastAsia="仿宋" w:hAnsi="仿宋" w:hint="eastAsia"/>
          <w:color w:val="333333"/>
          <w:szCs w:val="30"/>
        </w:rPr>
        <w:t>其他第三方专业</w:t>
      </w:r>
      <w:proofErr w:type="gramEnd"/>
      <w:r w:rsidRPr="00062D2B">
        <w:rPr>
          <w:rFonts w:ascii="仿宋" w:eastAsia="仿宋" w:hAnsi="仿宋" w:hint="eastAsia"/>
          <w:color w:val="333333"/>
          <w:szCs w:val="30"/>
        </w:rPr>
        <w:t>服务机构测评证明文件包括但不限于数据资产评估中心、软件评测中心、律师事务所、会计师事务所等机构测评出具的权威报告。</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第十四条</w:t>
      </w:r>
      <w:r w:rsidRPr="00062D2B">
        <w:rPr>
          <w:rFonts w:ascii="仿宋" w:eastAsia="仿宋" w:hAnsi="仿宋" w:hint="eastAsia"/>
          <w:color w:val="333333"/>
          <w:szCs w:val="30"/>
        </w:rPr>
        <w:t> </w:t>
      </w:r>
      <w:r w:rsidRPr="00062D2B">
        <w:rPr>
          <w:rFonts w:ascii="仿宋" w:eastAsia="仿宋" w:hAnsi="仿宋" w:hint="eastAsia"/>
          <w:color w:val="333333"/>
          <w:szCs w:val="30"/>
        </w:rPr>
        <w:t>对于涉及数据来源、数据资源情况、产品和服务、存</w:t>
      </w:r>
      <w:proofErr w:type="gramStart"/>
      <w:r w:rsidRPr="00062D2B">
        <w:rPr>
          <w:rFonts w:ascii="仿宋" w:eastAsia="仿宋" w:hAnsi="仿宋" w:hint="eastAsia"/>
          <w:color w:val="333333"/>
          <w:szCs w:val="30"/>
        </w:rPr>
        <w:t>证情况</w:t>
      </w:r>
      <w:proofErr w:type="gramEnd"/>
      <w:r w:rsidRPr="00062D2B">
        <w:rPr>
          <w:rFonts w:ascii="仿宋" w:eastAsia="仿宋" w:hAnsi="仿宋" w:hint="eastAsia"/>
          <w:color w:val="333333"/>
          <w:szCs w:val="30"/>
        </w:rPr>
        <w:t>等发生重要更新或重大变化的，或者登记主体信息发生重大变化的，登记主体应及时向登记机构申请变更登记。</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登记主体申请变更登记应提交变更内容信息、变更登记说明、变更登记证明材料及其他必要材料。因机构重组合并、公共数据资源归属转移等原因导致登记主体发生变更的，由新的登记主体向登记机构申请变更登记，并提供相关证明材料。</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第十五条</w:t>
      </w:r>
      <w:r w:rsidRPr="00062D2B">
        <w:rPr>
          <w:rFonts w:ascii="仿宋" w:eastAsia="仿宋" w:hAnsi="仿宋" w:hint="eastAsia"/>
          <w:color w:val="333333"/>
          <w:szCs w:val="30"/>
        </w:rPr>
        <w:t> </w:t>
      </w:r>
      <w:r w:rsidRPr="00062D2B">
        <w:rPr>
          <w:rFonts w:ascii="仿宋" w:eastAsia="仿宋" w:hAnsi="仿宋" w:hint="eastAsia"/>
          <w:color w:val="333333"/>
          <w:szCs w:val="30"/>
        </w:rPr>
        <w:t>登记主体、利害关系人认为已登记信息有误的，可以申请更正登记。经登记主体书面同意或有证据证明登记信息确有错误的，登记机构对有关错误信息予以更正。</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登记主体申请更正登记应提交更正内容信息、更正登记说明、更正登记证明材料及其他必要材料。</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第十六条</w:t>
      </w:r>
      <w:r w:rsidRPr="00062D2B">
        <w:rPr>
          <w:rFonts w:ascii="仿宋" w:eastAsia="仿宋" w:hAnsi="仿宋" w:hint="eastAsia"/>
          <w:color w:val="333333"/>
          <w:szCs w:val="30"/>
        </w:rPr>
        <w:t> </w:t>
      </w:r>
      <w:r w:rsidRPr="00062D2B">
        <w:rPr>
          <w:rFonts w:ascii="仿宋" w:eastAsia="仿宋" w:hAnsi="仿宋" w:hint="eastAsia"/>
          <w:color w:val="333333"/>
          <w:szCs w:val="30"/>
        </w:rPr>
        <w:t>有下列情形之一的，登记主体应申请办理注销登记，登记机构自受理之日起10个工作日之内完成注销：</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lastRenderedPageBreak/>
        <w:t>（一）公共数据资源不可复原或灭失的；</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（二）登记主体放弃相关权益或权益期限届满的；</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（三）登记主体因解散、被依法撤销、被宣告破产或因其他原因终止存续的；</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（四）法律法规规定的其他情形。</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登记主体申请注销登记应提交注销登记说明、注销登记证明材料及其他必要材料。</w:t>
      </w:r>
    </w:p>
    <w:p w:rsidR="00062D2B" w:rsidRPr="00062D2B" w:rsidRDefault="00062D2B" w:rsidP="00D422EE">
      <w:pPr>
        <w:pStyle w:val="a3"/>
        <w:shd w:val="clear" w:color="auto" w:fill="FFFFFF"/>
        <w:spacing w:before="0" w:beforeAutospacing="0" w:after="0" w:afterAutospacing="0" w:line="480" w:lineRule="auto"/>
        <w:ind w:firstLine="480"/>
        <w:jc w:val="center"/>
        <w:rPr>
          <w:rFonts w:ascii="仿宋" w:eastAsia="仿宋" w:hAnsi="仿宋" w:hint="eastAsia"/>
          <w:color w:val="333333"/>
          <w:szCs w:val="30"/>
        </w:rPr>
      </w:pPr>
      <w:r w:rsidRPr="00062D2B">
        <w:rPr>
          <w:rStyle w:val="a4"/>
          <w:rFonts w:ascii="仿宋" w:eastAsia="仿宋" w:hAnsi="仿宋" w:hint="eastAsia"/>
          <w:color w:val="333333"/>
          <w:szCs w:val="30"/>
        </w:rPr>
        <w:t>第四章</w:t>
      </w:r>
      <w:r w:rsidRPr="00062D2B">
        <w:rPr>
          <w:rStyle w:val="a4"/>
          <w:rFonts w:ascii="仿宋" w:eastAsia="仿宋" w:hAnsi="仿宋" w:hint="eastAsia"/>
          <w:color w:val="333333"/>
          <w:szCs w:val="30"/>
        </w:rPr>
        <w:t> </w:t>
      </w:r>
      <w:r w:rsidRPr="00062D2B">
        <w:rPr>
          <w:rStyle w:val="a4"/>
          <w:rFonts w:ascii="仿宋" w:eastAsia="仿宋" w:hAnsi="仿宋" w:hint="eastAsia"/>
          <w:color w:val="333333"/>
          <w:szCs w:val="30"/>
        </w:rPr>
        <w:t>登记程序</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第十七条</w:t>
      </w:r>
      <w:r w:rsidRPr="00062D2B">
        <w:rPr>
          <w:rFonts w:ascii="仿宋" w:eastAsia="仿宋" w:hAnsi="仿宋" w:hint="eastAsia"/>
          <w:color w:val="333333"/>
          <w:szCs w:val="30"/>
        </w:rPr>
        <w:t> </w:t>
      </w:r>
      <w:r w:rsidRPr="00062D2B">
        <w:rPr>
          <w:rFonts w:ascii="仿宋" w:eastAsia="仿宋" w:hAnsi="仿宋" w:hint="eastAsia"/>
          <w:color w:val="333333"/>
          <w:szCs w:val="30"/>
        </w:rPr>
        <w:t>公共数据资源登记应按照申请、受理、形式审核、公示、赋码等程序开展。</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（一）登记申请。登记主体应根据登记类型在登记平台提交所需的登记材料。登记主体可委托代理机构进行登记。</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二）登记受理。登记机构应自收到申请之日起3个工作日之内予以受理。申请材料不齐全或者不符合规定的，需一次性告知登记主体补充完善，并按新补充后重新提交申请之日起计算受理日期。不予受理的，应向登记主体及时说明理由。</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（三）形式审核。登记机构应对登记材料内容进行形式审核，自受理之日起20个工作日之内完成审核。审核未完成的，应向登记主体说明原因。</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（四）登记公示。登记机构形式审核通过后应将有关登记信息通过登记平台向社会公示，公示期为10个工作日。登记公示内容主要包括登记主体名称、登记类型、登记数据名称、数据内容简介等。</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（五）赋码。公示期满无异议的，登记机构应按照国家数据局制定的规范，向登记主体发放登记确认单，对登记结果统一赋码。</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lastRenderedPageBreak/>
        <w:t>第十八条</w:t>
      </w:r>
      <w:r w:rsidRPr="00062D2B">
        <w:rPr>
          <w:rFonts w:ascii="仿宋" w:eastAsia="仿宋" w:hAnsi="仿宋" w:hint="eastAsia"/>
          <w:color w:val="333333"/>
          <w:szCs w:val="30"/>
        </w:rPr>
        <w:t> </w:t>
      </w:r>
      <w:r w:rsidRPr="00062D2B">
        <w:rPr>
          <w:rFonts w:ascii="仿宋" w:eastAsia="仿宋" w:hAnsi="仿宋" w:hint="eastAsia"/>
          <w:color w:val="333333"/>
          <w:szCs w:val="30"/>
        </w:rPr>
        <w:t>相关当事人对公示中或登记后的登记信息有异议的，可通过登记平台实名提出异议，并提供必要的证据材料。登记机构应对提出的异议进行复核，根据提交的证据材料形成异议处理结果，并将结果反馈至异议双方。异议处理过程中的材料需在登记平台进行存档备案。</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对于公示期内有异议的登记信息，异议成立的，终止登记。公示期内异议未处理完结的，登记机构对公示的登记信息进行异议标识。</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对于登记后有异议的登记信息，登记机构应及时进行复核，</w:t>
      </w:r>
      <w:proofErr w:type="gramStart"/>
      <w:r w:rsidRPr="00062D2B">
        <w:rPr>
          <w:rFonts w:ascii="仿宋" w:eastAsia="仿宋" w:hAnsi="仿宋" w:hint="eastAsia"/>
          <w:color w:val="333333"/>
          <w:szCs w:val="30"/>
        </w:rPr>
        <w:t>作出</w:t>
      </w:r>
      <w:proofErr w:type="gramEnd"/>
      <w:r w:rsidRPr="00062D2B">
        <w:rPr>
          <w:rFonts w:ascii="仿宋" w:eastAsia="仿宋" w:hAnsi="仿宋" w:hint="eastAsia"/>
          <w:color w:val="333333"/>
          <w:szCs w:val="30"/>
        </w:rPr>
        <w:t>是否撤销登记的决定。</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核实后仍有争议的，由异议双方协商解决或者通过仲裁机构、司法机关处理。</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第十九条</w:t>
      </w:r>
      <w:r w:rsidRPr="00062D2B">
        <w:rPr>
          <w:rFonts w:ascii="仿宋" w:eastAsia="仿宋" w:hAnsi="仿宋" w:hint="eastAsia"/>
          <w:color w:val="333333"/>
          <w:szCs w:val="30"/>
        </w:rPr>
        <w:t> </w:t>
      </w:r>
      <w:r w:rsidRPr="00062D2B">
        <w:rPr>
          <w:rFonts w:ascii="仿宋" w:eastAsia="仿宋" w:hAnsi="仿宋" w:hint="eastAsia"/>
          <w:color w:val="333333"/>
          <w:szCs w:val="30"/>
        </w:rPr>
        <w:t>有下列情形之一的，登记机构不予办理登记：</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（一）危害国家安全、公共利益，侵犯他人合法权益的；</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（二）存在数据权属争议的；</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（三）原始数据来源应获得授权而未获得授权的；</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（四）重复登记的；</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（五）登记主体隐瞒事实或弄虚作假的；</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（六）其他违反法律法规的情形。</w:t>
      </w:r>
    </w:p>
    <w:p w:rsidR="00062D2B" w:rsidRPr="00062D2B" w:rsidRDefault="00062D2B" w:rsidP="00D422EE">
      <w:pPr>
        <w:pStyle w:val="a3"/>
        <w:shd w:val="clear" w:color="auto" w:fill="FFFFFF"/>
        <w:spacing w:before="0" w:beforeAutospacing="0" w:after="0" w:afterAutospacing="0" w:line="480" w:lineRule="auto"/>
        <w:ind w:firstLine="480"/>
        <w:jc w:val="center"/>
        <w:rPr>
          <w:rFonts w:ascii="仿宋" w:eastAsia="仿宋" w:hAnsi="仿宋" w:hint="eastAsia"/>
          <w:color w:val="333333"/>
          <w:szCs w:val="30"/>
        </w:rPr>
      </w:pPr>
      <w:r w:rsidRPr="00062D2B">
        <w:rPr>
          <w:rStyle w:val="a4"/>
          <w:rFonts w:ascii="仿宋" w:eastAsia="仿宋" w:hAnsi="仿宋" w:hint="eastAsia"/>
          <w:color w:val="333333"/>
          <w:szCs w:val="30"/>
        </w:rPr>
        <w:t>第五章</w:t>
      </w:r>
      <w:r w:rsidRPr="00062D2B">
        <w:rPr>
          <w:rStyle w:val="a4"/>
          <w:rFonts w:ascii="仿宋" w:eastAsia="仿宋" w:hAnsi="仿宋" w:hint="eastAsia"/>
          <w:color w:val="333333"/>
          <w:szCs w:val="30"/>
        </w:rPr>
        <w:t> </w:t>
      </w:r>
      <w:r w:rsidRPr="00062D2B">
        <w:rPr>
          <w:rStyle w:val="a4"/>
          <w:rFonts w:ascii="仿宋" w:eastAsia="仿宋" w:hAnsi="仿宋" w:hint="eastAsia"/>
          <w:color w:val="333333"/>
          <w:szCs w:val="30"/>
        </w:rPr>
        <w:t>登记管理</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第二十条</w:t>
      </w:r>
      <w:r w:rsidRPr="00062D2B">
        <w:rPr>
          <w:rFonts w:ascii="仿宋" w:eastAsia="仿宋" w:hAnsi="仿宋" w:hint="eastAsia"/>
          <w:color w:val="333333"/>
          <w:szCs w:val="30"/>
        </w:rPr>
        <w:t> </w:t>
      </w:r>
      <w:r w:rsidRPr="00062D2B">
        <w:rPr>
          <w:rFonts w:ascii="仿宋" w:eastAsia="仿宋" w:hAnsi="仿宋" w:hint="eastAsia"/>
          <w:color w:val="333333"/>
          <w:szCs w:val="30"/>
        </w:rPr>
        <w:t>省数据管理部门组织建设全省统一的公共数据资源登记平台，与国家公共数据资源登记平台对接，实现登记信息互联互通。</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登记平台应具备登记办理、登记信息查询和共享、存证溯源、安全保障等能力，支撑数据管理部门对登记业务进行全流程监管。</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lastRenderedPageBreak/>
        <w:t>第二十一条</w:t>
      </w:r>
      <w:r w:rsidRPr="00062D2B">
        <w:rPr>
          <w:rFonts w:ascii="仿宋" w:eastAsia="仿宋" w:hAnsi="仿宋" w:hint="eastAsia"/>
          <w:color w:val="333333"/>
          <w:szCs w:val="30"/>
        </w:rPr>
        <w:t> </w:t>
      </w:r>
      <w:r w:rsidRPr="00062D2B">
        <w:rPr>
          <w:rFonts w:ascii="仿宋" w:eastAsia="仿宋" w:hAnsi="仿宋" w:hint="eastAsia"/>
          <w:color w:val="333333"/>
          <w:szCs w:val="30"/>
        </w:rPr>
        <w:t>登记结果有效期原则上为三年，自赋码之日起计算。对授权运营范围内的公共数据产品和服务登记，根据授权协议运营期限不超过三年的，登记结果有效期以实际运营期限为准。</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登记结果有效期届满的，登记主体可在期满前60日内按照规定续展。每次续展期最长为三年，自上一届有效期满次日起计算。期满未按规定续展的，由登记机构予以注销。</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第二十二条</w:t>
      </w:r>
      <w:r w:rsidRPr="00062D2B">
        <w:rPr>
          <w:rFonts w:ascii="仿宋" w:eastAsia="仿宋" w:hAnsi="仿宋" w:hint="eastAsia"/>
          <w:color w:val="333333"/>
          <w:szCs w:val="30"/>
        </w:rPr>
        <w:t> </w:t>
      </w:r>
      <w:r w:rsidRPr="00062D2B">
        <w:rPr>
          <w:rFonts w:ascii="仿宋" w:eastAsia="仿宋" w:hAnsi="仿宋" w:hint="eastAsia"/>
          <w:color w:val="333333"/>
          <w:szCs w:val="30"/>
        </w:rPr>
        <w:t>数据管理部门应加强对本行政区域内登记机构的管理，定期开展服务水平评价，评估登记服务质量，包括登记效率、规范性和满意度等；对于存在突出问题的登记机构，应及时指导整改，拒不整改的，取消登记机构资格。</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登记机构应每季度向本级数据管理部门报送登记服务开展情况。</w:t>
      </w:r>
    </w:p>
    <w:p w:rsidR="00062D2B" w:rsidRPr="00062D2B" w:rsidRDefault="00062D2B" w:rsidP="00D422EE">
      <w:pPr>
        <w:pStyle w:val="a3"/>
        <w:shd w:val="clear" w:color="auto" w:fill="FFFFFF"/>
        <w:spacing w:before="0" w:beforeAutospacing="0" w:after="0" w:afterAutospacing="0" w:line="480" w:lineRule="auto"/>
        <w:ind w:firstLine="480"/>
        <w:jc w:val="center"/>
        <w:rPr>
          <w:rFonts w:ascii="仿宋" w:eastAsia="仿宋" w:hAnsi="仿宋" w:hint="eastAsia"/>
          <w:color w:val="333333"/>
          <w:szCs w:val="30"/>
        </w:rPr>
      </w:pPr>
      <w:r w:rsidRPr="00062D2B">
        <w:rPr>
          <w:rStyle w:val="a4"/>
          <w:rFonts w:ascii="仿宋" w:eastAsia="仿宋" w:hAnsi="仿宋" w:hint="eastAsia"/>
          <w:color w:val="333333"/>
          <w:szCs w:val="30"/>
        </w:rPr>
        <w:t>第六章</w:t>
      </w:r>
      <w:r w:rsidRPr="00062D2B">
        <w:rPr>
          <w:rStyle w:val="a4"/>
          <w:rFonts w:ascii="仿宋" w:eastAsia="仿宋" w:hAnsi="仿宋" w:hint="eastAsia"/>
          <w:color w:val="333333"/>
          <w:szCs w:val="30"/>
        </w:rPr>
        <w:t> </w:t>
      </w:r>
      <w:r w:rsidRPr="00062D2B">
        <w:rPr>
          <w:rStyle w:val="a4"/>
          <w:rFonts w:ascii="仿宋" w:eastAsia="仿宋" w:hAnsi="仿宋" w:hint="eastAsia"/>
          <w:color w:val="333333"/>
          <w:szCs w:val="30"/>
        </w:rPr>
        <w:t>监督管理</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第二十三条</w:t>
      </w:r>
      <w:r w:rsidRPr="00062D2B">
        <w:rPr>
          <w:rStyle w:val="a4"/>
          <w:rFonts w:ascii="仿宋" w:eastAsia="仿宋" w:hAnsi="仿宋" w:hint="eastAsia"/>
          <w:color w:val="333333"/>
          <w:szCs w:val="30"/>
        </w:rPr>
        <w:t> </w:t>
      </w:r>
      <w:r w:rsidRPr="00062D2B">
        <w:rPr>
          <w:rFonts w:ascii="仿宋" w:eastAsia="仿宋" w:hAnsi="仿宋" w:hint="eastAsia"/>
          <w:color w:val="333333"/>
          <w:szCs w:val="30"/>
        </w:rPr>
        <w:t>全省公共数据资源登记工作实行分级监督管理。各级数据管理部门应</w:t>
      </w:r>
      <w:proofErr w:type="gramStart"/>
      <w:r w:rsidRPr="00062D2B">
        <w:rPr>
          <w:rFonts w:ascii="仿宋" w:eastAsia="仿宋" w:hAnsi="仿宋" w:hint="eastAsia"/>
          <w:color w:val="333333"/>
          <w:szCs w:val="30"/>
        </w:rPr>
        <w:t>会同网信</w:t>
      </w:r>
      <w:proofErr w:type="gramEnd"/>
      <w:r w:rsidRPr="00062D2B">
        <w:rPr>
          <w:rFonts w:ascii="仿宋" w:eastAsia="仿宋" w:hAnsi="仿宋" w:hint="eastAsia"/>
          <w:color w:val="333333"/>
          <w:szCs w:val="30"/>
        </w:rPr>
        <w:t>、公安、财政、司法行政等有关部门做好跨部门的协同监管。</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监管单位有权采取下列措施，对登记机构的业务开展情况进行监督检查：</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（一）要求登记机构定期或不定期报送有关资料；</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（二）进入登记机构的办公或服务场所进行现场检查；</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（三）询问登记机构的管理、工作人员，要求其对有关检查事项</w:t>
      </w:r>
      <w:proofErr w:type="gramStart"/>
      <w:r w:rsidRPr="00062D2B">
        <w:rPr>
          <w:rFonts w:ascii="仿宋" w:eastAsia="仿宋" w:hAnsi="仿宋" w:hint="eastAsia"/>
          <w:color w:val="333333"/>
          <w:szCs w:val="30"/>
        </w:rPr>
        <w:t>作出</w:t>
      </w:r>
      <w:proofErr w:type="gramEnd"/>
      <w:r w:rsidRPr="00062D2B">
        <w:rPr>
          <w:rFonts w:ascii="仿宋" w:eastAsia="仿宋" w:hAnsi="仿宋" w:hint="eastAsia"/>
          <w:color w:val="333333"/>
          <w:szCs w:val="30"/>
        </w:rPr>
        <w:t>说明；</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（四）检查相关计算机系统，查阅、复制与检查事项有关的文件、资料；</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（五）监管单位认为必要的其他措施。</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第二十四条</w:t>
      </w:r>
      <w:r w:rsidRPr="00062D2B">
        <w:rPr>
          <w:rFonts w:ascii="仿宋" w:eastAsia="仿宋" w:hAnsi="仿宋" w:hint="eastAsia"/>
          <w:color w:val="333333"/>
          <w:szCs w:val="30"/>
        </w:rPr>
        <w:t> </w:t>
      </w:r>
      <w:r w:rsidRPr="00062D2B">
        <w:rPr>
          <w:rFonts w:ascii="仿宋" w:eastAsia="仿宋" w:hAnsi="仿宋" w:hint="eastAsia"/>
          <w:color w:val="333333"/>
          <w:szCs w:val="30"/>
        </w:rPr>
        <w:t>登记机构在登记过程中存在下列行为的，由数据管理部门采取约谈、现场指导或取消登记机构资格等管理措施：</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（一）开展虚假登记；</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lastRenderedPageBreak/>
        <w:t>（二）擅自篡改、伪造登记结果；</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（三）私自泄露登记信息或利用登记信息不当获利；</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（四）履职不当或拒不履职的情况；</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（五）其他违反法律法规的情况。</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第二十五条</w:t>
      </w:r>
      <w:r w:rsidRPr="00062D2B">
        <w:rPr>
          <w:rFonts w:ascii="仿宋" w:eastAsia="仿宋" w:hAnsi="仿宋" w:hint="eastAsia"/>
          <w:color w:val="333333"/>
          <w:szCs w:val="30"/>
        </w:rPr>
        <w:t> </w:t>
      </w:r>
      <w:r w:rsidRPr="00062D2B">
        <w:rPr>
          <w:rFonts w:ascii="仿宋" w:eastAsia="仿宋" w:hAnsi="仿宋" w:hint="eastAsia"/>
          <w:color w:val="333333"/>
          <w:szCs w:val="30"/>
        </w:rPr>
        <w:t>对应登记未登记的，由本级数据管理部门责令限期整改。授权开展运营活动的法人组织未按要求进行公共数据资源登记，情节严重的可按照授权运营协议约定暂停或提前终止协议。</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第二十六条</w:t>
      </w:r>
      <w:r w:rsidRPr="00062D2B">
        <w:rPr>
          <w:rFonts w:ascii="仿宋" w:eastAsia="仿宋" w:hAnsi="仿宋" w:hint="eastAsia"/>
          <w:color w:val="333333"/>
          <w:szCs w:val="30"/>
        </w:rPr>
        <w:t> </w:t>
      </w:r>
      <w:r w:rsidRPr="00062D2B">
        <w:rPr>
          <w:rFonts w:ascii="仿宋" w:eastAsia="仿宋" w:hAnsi="仿宋" w:hint="eastAsia"/>
          <w:color w:val="333333"/>
          <w:szCs w:val="30"/>
        </w:rPr>
        <w:t>登记主体有下列行为的，经核实认定后由登记机构撤销登记并进行公告：</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（一）隐瞒事实、弄虚作假或提供虚假登记材料；</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（二）擅自篡改、伪造登记结果；</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（三）非法使用或利用登记结果不当获利；</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Fonts w:ascii="仿宋" w:eastAsia="仿宋" w:hAnsi="仿宋" w:hint="eastAsia"/>
          <w:color w:val="333333"/>
          <w:szCs w:val="30"/>
        </w:rPr>
        <w:t>（四）其他违反法律法规的情况。</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第二十七条</w:t>
      </w:r>
      <w:r w:rsidRPr="00062D2B">
        <w:rPr>
          <w:rFonts w:ascii="仿宋" w:eastAsia="仿宋" w:hAnsi="仿宋" w:hint="eastAsia"/>
          <w:color w:val="333333"/>
          <w:szCs w:val="30"/>
        </w:rPr>
        <w:t> </w:t>
      </w:r>
      <w:r w:rsidRPr="00062D2B">
        <w:rPr>
          <w:rFonts w:ascii="仿宋" w:eastAsia="仿宋" w:hAnsi="仿宋" w:hint="eastAsia"/>
          <w:color w:val="333333"/>
          <w:szCs w:val="30"/>
        </w:rPr>
        <w:t>登记机构、登记主体存在违反有关法律行为的，依法承担相关责任；构成犯罪的，依法追究刑事责任。</w:t>
      </w:r>
    </w:p>
    <w:p w:rsidR="00062D2B" w:rsidRPr="00062D2B" w:rsidRDefault="00062D2B" w:rsidP="00D422EE">
      <w:pPr>
        <w:pStyle w:val="a3"/>
        <w:shd w:val="clear" w:color="auto" w:fill="FFFFFF"/>
        <w:spacing w:before="0" w:beforeAutospacing="0" w:after="0" w:afterAutospacing="0" w:line="480" w:lineRule="auto"/>
        <w:ind w:firstLine="480"/>
        <w:jc w:val="center"/>
        <w:rPr>
          <w:rFonts w:ascii="仿宋" w:eastAsia="仿宋" w:hAnsi="仿宋" w:hint="eastAsia"/>
          <w:color w:val="333333"/>
          <w:szCs w:val="30"/>
        </w:rPr>
      </w:pPr>
      <w:r w:rsidRPr="00062D2B">
        <w:rPr>
          <w:rStyle w:val="a4"/>
          <w:rFonts w:ascii="仿宋" w:eastAsia="仿宋" w:hAnsi="仿宋" w:hint="eastAsia"/>
          <w:color w:val="333333"/>
          <w:szCs w:val="30"/>
        </w:rPr>
        <w:t>第七章</w:t>
      </w:r>
      <w:r w:rsidRPr="00062D2B">
        <w:rPr>
          <w:rStyle w:val="a4"/>
          <w:rFonts w:ascii="仿宋" w:eastAsia="仿宋" w:hAnsi="仿宋" w:hint="eastAsia"/>
          <w:color w:val="333333"/>
          <w:szCs w:val="30"/>
        </w:rPr>
        <w:t> </w:t>
      </w:r>
      <w:r w:rsidRPr="00062D2B">
        <w:rPr>
          <w:rStyle w:val="a4"/>
          <w:rFonts w:ascii="仿宋" w:eastAsia="仿宋" w:hAnsi="仿宋" w:hint="eastAsia"/>
          <w:color w:val="333333"/>
          <w:szCs w:val="30"/>
        </w:rPr>
        <w:t>附则</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第二十八条</w:t>
      </w:r>
      <w:r w:rsidRPr="00062D2B">
        <w:rPr>
          <w:rFonts w:ascii="仿宋" w:eastAsia="仿宋" w:hAnsi="仿宋" w:hint="eastAsia"/>
          <w:color w:val="333333"/>
          <w:szCs w:val="30"/>
        </w:rPr>
        <w:t> </w:t>
      </w:r>
      <w:r w:rsidRPr="00062D2B">
        <w:rPr>
          <w:rFonts w:ascii="仿宋" w:eastAsia="仿宋" w:hAnsi="仿宋" w:hint="eastAsia"/>
          <w:color w:val="333333"/>
          <w:szCs w:val="30"/>
        </w:rPr>
        <w:t>本细则由省数据管理部门负责解释。</w:t>
      </w:r>
    </w:p>
    <w:p w:rsidR="00062D2B" w:rsidRPr="00062D2B" w:rsidRDefault="00062D2B" w:rsidP="00D422EE">
      <w:pPr>
        <w:pStyle w:val="a3"/>
        <w:shd w:val="clear" w:color="auto" w:fill="FFFFFF"/>
        <w:spacing w:before="0" w:beforeAutospacing="0" w:after="0" w:afterAutospacing="0" w:line="480" w:lineRule="auto"/>
        <w:ind w:firstLine="480"/>
        <w:jc w:val="both"/>
        <w:rPr>
          <w:rFonts w:ascii="仿宋" w:eastAsia="仿宋" w:hAnsi="仿宋" w:hint="eastAsia"/>
          <w:color w:val="333333"/>
          <w:szCs w:val="30"/>
        </w:rPr>
      </w:pPr>
      <w:r w:rsidRPr="00062D2B">
        <w:rPr>
          <w:rStyle w:val="a4"/>
          <w:rFonts w:ascii="仿宋" w:eastAsia="仿宋" w:hAnsi="仿宋" w:hint="eastAsia"/>
          <w:color w:val="333333"/>
          <w:szCs w:val="30"/>
        </w:rPr>
        <w:t>第二十九条</w:t>
      </w:r>
      <w:r w:rsidRPr="00062D2B">
        <w:rPr>
          <w:rFonts w:ascii="仿宋" w:eastAsia="仿宋" w:hAnsi="仿宋" w:hint="eastAsia"/>
          <w:color w:val="333333"/>
          <w:szCs w:val="30"/>
        </w:rPr>
        <w:t> </w:t>
      </w:r>
      <w:r w:rsidRPr="00062D2B">
        <w:rPr>
          <w:rFonts w:ascii="仿宋" w:eastAsia="仿宋" w:hAnsi="仿宋" w:hint="eastAsia"/>
          <w:color w:val="333333"/>
          <w:szCs w:val="30"/>
        </w:rPr>
        <w:t>本细则自印发之日起试行。期间，法律法规和国家政策对公共数据资源登记管理有新规定的，从其规定。</w:t>
      </w:r>
    </w:p>
    <w:p w:rsidR="00724042" w:rsidRPr="00062D2B" w:rsidRDefault="00724042" w:rsidP="00D422EE">
      <w:pPr>
        <w:spacing w:line="480" w:lineRule="auto"/>
        <w:rPr>
          <w:rFonts w:ascii="仿宋" w:eastAsia="仿宋" w:hAnsi="仿宋"/>
          <w:sz w:val="18"/>
        </w:rPr>
      </w:pPr>
    </w:p>
    <w:sectPr w:rsidR="00724042" w:rsidRPr="00062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22"/>
    <w:rsid w:val="00062D2B"/>
    <w:rsid w:val="00567522"/>
    <w:rsid w:val="00724042"/>
    <w:rsid w:val="007F5459"/>
    <w:rsid w:val="00C666BD"/>
    <w:rsid w:val="00D4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432C"/>
  <w15:chartTrackingRefBased/>
  <w15:docId w15:val="{3A8DC545-88C9-4A08-B270-7CACF4FB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D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2D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2025-04-13T10:16:00Z</dcterms:created>
  <dcterms:modified xsi:type="dcterms:W3CDTF">2025-04-13T10:17:00Z</dcterms:modified>
</cp:coreProperties>
</file>